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9564F" w14:textId="77777777" w:rsidR="006F0791" w:rsidRPr="00E12818" w:rsidRDefault="006F0791" w:rsidP="00974231">
      <w:pPr>
        <w:pStyle w:val="Heading2"/>
        <w:spacing w:before="0"/>
        <w:rPr>
          <w:rFonts w:ascii="Arial" w:hAnsi="Arial" w:cs="Arial"/>
          <w:b/>
        </w:rPr>
      </w:pPr>
      <w:r w:rsidRPr="00E12818">
        <w:rPr>
          <w:rFonts w:ascii="Arial" w:hAnsi="Arial" w:cs="Arial"/>
          <w:b/>
        </w:rPr>
        <w:t>Glossary</w:t>
      </w:r>
    </w:p>
    <w:tbl>
      <w:tblPr>
        <w:tblW w:w="9360" w:type="dxa"/>
        <w:tblLayout w:type="fixed"/>
        <w:tblCellMar>
          <w:left w:w="115" w:type="dxa"/>
          <w:right w:w="115" w:type="dxa"/>
        </w:tblCellMar>
        <w:tblLook w:val="0000" w:firstRow="0" w:lastRow="0" w:firstColumn="0" w:lastColumn="0" w:noHBand="0" w:noVBand="0"/>
      </w:tblPr>
      <w:tblGrid>
        <w:gridCol w:w="3600"/>
        <w:gridCol w:w="5760"/>
      </w:tblGrid>
      <w:tr w:rsidR="006F0791" w:rsidRPr="00166622" w14:paraId="6BF14723" w14:textId="77777777" w:rsidTr="00453A1F">
        <w:trPr>
          <w:trHeight w:val="288"/>
        </w:trPr>
        <w:tc>
          <w:tcPr>
            <w:tcW w:w="3600" w:type="dxa"/>
          </w:tcPr>
          <w:p w14:paraId="60C0FDAC" w14:textId="77777777" w:rsidR="006F0791" w:rsidRPr="00166622" w:rsidRDefault="006F0791" w:rsidP="008F2306">
            <w:pPr>
              <w:pStyle w:val="Table-Head-Left"/>
              <w:spacing w:before="120" w:after="120"/>
              <w:rPr>
                <w:rFonts w:ascii="Arial" w:hAnsi="Arial" w:cs="Arial"/>
              </w:rPr>
            </w:pPr>
            <w:r w:rsidRPr="00166622">
              <w:rPr>
                <w:rFonts w:ascii="Arial" w:hAnsi="Arial" w:cs="Arial"/>
              </w:rPr>
              <w:t>Accounting applications</w:t>
            </w:r>
          </w:p>
        </w:tc>
        <w:tc>
          <w:tcPr>
            <w:tcW w:w="5760" w:type="dxa"/>
          </w:tcPr>
          <w:p w14:paraId="66D09BAE" w14:textId="7FE1D4E9" w:rsidR="006F0791" w:rsidRPr="00166622" w:rsidRDefault="006F0791" w:rsidP="00F62251">
            <w:pPr>
              <w:pStyle w:val="Table-Cell-Left"/>
              <w:spacing w:before="120" w:after="120"/>
              <w:rPr>
                <w:rFonts w:ascii="Arial" w:hAnsi="Arial" w:cs="Arial"/>
              </w:rPr>
            </w:pPr>
            <w:r w:rsidRPr="00166622">
              <w:rPr>
                <w:rFonts w:ascii="Arial" w:hAnsi="Arial" w:cs="Arial"/>
              </w:rPr>
              <w:t>The methods and records used to (1) identify, assemble, analyze, classify, and record a particular type of trans</w:t>
            </w:r>
            <w:r w:rsidRPr="00166622">
              <w:rPr>
                <w:rFonts w:ascii="Arial" w:hAnsi="Arial" w:cs="Arial"/>
              </w:rPr>
              <w:softHyphen/>
              <w:t xml:space="preserve">action or (2) report recorded transactions and maintain accountability for related assets and liabilities. </w:t>
            </w:r>
            <w:r w:rsidR="00252F4B" w:rsidRPr="001578F9">
              <w:rPr>
                <w:rFonts w:ascii="Arial" w:hAnsi="Arial" w:cs="Arial"/>
              </w:rPr>
              <w:t xml:space="preserve">Accounting applications often include </w:t>
            </w:r>
            <w:r w:rsidR="00F62251" w:rsidRPr="00291714">
              <w:rPr>
                <w:rFonts w:ascii="Arial" w:hAnsi="Arial" w:cs="Arial"/>
              </w:rPr>
              <w:t>information system processing</w:t>
            </w:r>
            <w:r w:rsidR="00252F4B" w:rsidRPr="001578F9">
              <w:rPr>
                <w:rFonts w:ascii="Arial" w:hAnsi="Arial" w:cs="Arial"/>
              </w:rPr>
              <w:t xml:space="preserve">. </w:t>
            </w:r>
            <w:r w:rsidR="00F62251" w:rsidRPr="00291714">
              <w:rPr>
                <w:rFonts w:ascii="Arial" w:hAnsi="Arial" w:cs="Arial"/>
              </w:rPr>
              <w:t>Information system processing</w:t>
            </w:r>
            <w:r w:rsidR="00F62251">
              <w:rPr>
                <w:rFonts w:ascii="Arial" w:hAnsi="Arial" w:cs="Arial"/>
              </w:rPr>
              <w:t xml:space="preserve"> is</w:t>
            </w:r>
            <w:r w:rsidR="00252F4B" w:rsidRPr="001578F9">
              <w:rPr>
                <w:rFonts w:ascii="Arial" w:hAnsi="Arial" w:cs="Arial"/>
              </w:rPr>
              <w:t xml:space="preserve"> </w:t>
            </w:r>
            <w:r w:rsidR="0006757D">
              <w:rPr>
                <w:rFonts w:ascii="Arial" w:hAnsi="Arial" w:cs="Arial"/>
              </w:rPr>
              <w:t xml:space="preserve">often </w:t>
            </w:r>
            <w:r w:rsidR="00252F4B" w:rsidRPr="001578F9">
              <w:rPr>
                <w:rFonts w:ascii="Arial" w:hAnsi="Arial" w:cs="Arial"/>
              </w:rPr>
              <w:t>performed by software programs hosted by information systems, which are also commonly referred to as applications.</w:t>
            </w:r>
            <w:r w:rsidR="00252F4B">
              <w:rPr>
                <w:rFonts w:ascii="Arial" w:hAnsi="Arial" w:cs="Arial"/>
              </w:rPr>
              <w:t xml:space="preserve"> </w:t>
            </w:r>
            <w:r w:rsidRPr="00166622">
              <w:rPr>
                <w:rFonts w:ascii="Arial" w:hAnsi="Arial" w:cs="Arial"/>
              </w:rPr>
              <w:t>Common accounting applications are (1) billings, (2) accounts receivable, (3) cash receipts, (4) purchasing and receiving, (5) accounts payable, (6) cash disbursements, (7) payroll, (8) inventory control, and (9) proper</w:t>
            </w:r>
            <w:r w:rsidR="004B5F65" w:rsidRPr="00166622">
              <w:rPr>
                <w:rFonts w:ascii="Arial" w:hAnsi="Arial" w:cs="Arial"/>
              </w:rPr>
              <w:t>ty, plant, and equipment (PP&amp;E).</w:t>
            </w:r>
          </w:p>
        </w:tc>
      </w:tr>
      <w:tr w:rsidR="00DC3016" w:rsidRPr="00166622" w14:paraId="6BA8AD9A" w14:textId="77777777" w:rsidTr="00453A1F">
        <w:trPr>
          <w:trHeight w:val="288"/>
        </w:trPr>
        <w:tc>
          <w:tcPr>
            <w:tcW w:w="3600" w:type="dxa"/>
          </w:tcPr>
          <w:p w14:paraId="2242FD42" w14:textId="77777777" w:rsidR="00DC3016" w:rsidRPr="00166622" w:rsidRDefault="00DC3016" w:rsidP="008F2306">
            <w:pPr>
              <w:pStyle w:val="Table-Head-Left"/>
              <w:spacing w:before="120" w:after="120"/>
              <w:rPr>
                <w:rFonts w:ascii="Arial" w:hAnsi="Arial" w:cs="Arial"/>
              </w:rPr>
            </w:pPr>
            <w:r w:rsidRPr="00166622">
              <w:rPr>
                <w:rFonts w:ascii="Arial" w:hAnsi="Arial" w:cs="Arial"/>
              </w:rPr>
              <w:t>Accounting estimate</w:t>
            </w:r>
          </w:p>
        </w:tc>
        <w:tc>
          <w:tcPr>
            <w:tcW w:w="5760" w:type="dxa"/>
          </w:tcPr>
          <w:p w14:paraId="7EFA840C" w14:textId="77777777" w:rsidR="00DC3016" w:rsidRPr="00166622" w:rsidRDefault="002F3F08" w:rsidP="008F2306">
            <w:pPr>
              <w:pStyle w:val="Table-Cell-Left"/>
              <w:spacing w:before="120" w:after="120"/>
              <w:rPr>
                <w:rFonts w:ascii="Arial" w:hAnsi="Arial" w:cs="Arial"/>
              </w:rPr>
            </w:pPr>
            <w:r w:rsidRPr="00166622">
              <w:rPr>
                <w:rFonts w:ascii="Arial" w:hAnsi="Arial" w:cs="Arial"/>
              </w:rPr>
              <w:t>An approximation of a monetary amount in the absence of a precise means of measurement.</w:t>
            </w:r>
          </w:p>
        </w:tc>
      </w:tr>
      <w:tr w:rsidR="006F0791" w:rsidRPr="00166622" w14:paraId="57BDEEC3" w14:textId="77777777" w:rsidTr="00453A1F">
        <w:trPr>
          <w:trHeight w:val="288"/>
        </w:trPr>
        <w:tc>
          <w:tcPr>
            <w:tcW w:w="3600" w:type="dxa"/>
          </w:tcPr>
          <w:p w14:paraId="4118E6DB" w14:textId="77777777" w:rsidR="006F0791" w:rsidRPr="00166622" w:rsidRDefault="006F0791" w:rsidP="008F2306">
            <w:pPr>
              <w:pStyle w:val="Table-Head-Left"/>
              <w:spacing w:before="120" w:after="120"/>
              <w:rPr>
                <w:rFonts w:ascii="Arial" w:hAnsi="Arial" w:cs="Arial"/>
              </w:rPr>
            </w:pPr>
            <w:r w:rsidRPr="00166622">
              <w:rPr>
                <w:rFonts w:ascii="Arial" w:hAnsi="Arial" w:cs="Arial"/>
              </w:rPr>
              <w:t>Accounting system</w:t>
            </w:r>
          </w:p>
        </w:tc>
        <w:tc>
          <w:tcPr>
            <w:tcW w:w="5760" w:type="dxa"/>
          </w:tcPr>
          <w:p w14:paraId="735D2769" w14:textId="77777777" w:rsidR="002C0134" w:rsidRPr="00166622" w:rsidRDefault="006F0791" w:rsidP="008F2306">
            <w:pPr>
              <w:pStyle w:val="Table-Cell-Left"/>
              <w:spacing w:before="120" w:after="120"/>
              <w:rPr>
                <w:rFonts w:ascii="Arial" w:hAnsi="Arial" w:cs="Arial"/>
              </w:rPr>
            </w:pPr>
            <w:r w:rsidRPr="00166622">
              <w:rPr>
                <w:rFonts w:ascii="Arial" w:hAnsi="Arial" w:cs="Arial"/>
              </w:rPr>
              <w:t xml:space="preserve">The methods, records, and processes </w:t>
            </w:r>
            <w:r w:rsidR="00251D3C" w:rsidRPr="00166622">
              <w:rPr>
                <w:rFonts w:ascii="Arial" w:hAnsi="Arial" w:cs="Arial"/>
              </w:rPr>
              <w:t>used</w:t>
            </w:r>
            <w:r w:rsidRPr="00166622">
              <w:rPr>
                <w:rFonts w:ascii="Arial" w:hAnsi="Arial" w:cs="Arial"/>
              </w:rPr>
              <w:t xml:space="preserve"> to identify, assemble, analyze, classify, record, and report an entity</w:t>
            </w:r>
            <w:r w:rsidR="00CE35A1" w:rsidRPr="00166622">
              <w:rPr>
                <w:rFonts w:ascii="Arial" w:hAnsi="Arial" w:cs="Arial"/>
              </w:rPr>
              <w:t>’</w:t>
            </w:r>
            <w:r w:rsidRPr="00166622">
              <w:rPr>
                <w:rFonts w:ascii="Arial" w:hAnsi="Arial" w:cs="Arial"/>
              </w:rPr>
              <w:t>s transactions and to maintain accountability for the related assets and liabilities.</w:t>
            </w:r>
          </w:p>
        </w:tc>
      </w:tr>
      <w:tr w:rsidR="00D845AA" w:rsidRPr="00166622" w14:paraId="670B2031" w14:textId="77777777" w:rsidTr="00453A1F">
        <w:trPr>
          <w:trHeight w:val="288"/>
        </w:trPr>
        <w:tc>
          <w:tcPr>
            <w:tcW w:w="3600" w:type="dxa"/>
          </w:tcPr>
          <w:p w14:paraId="2C7DA65A" w14:textId="77777777" w:rsidR="00D845AA" w:rsidRPr="00166622" w:rsidRDefault="00D845AA" w:rsidP="008F2306">
            <w:pPr>
              <w:pStyle w:val="Table-Head-Left"/>
              <w:spacing w:before="120" w:after="120"/>
              <w:rPr>
                <w:rFonts w:ascii="Arial" w:hAnsi="Arial" w:cs="Arial"/>
              </w:rPr>
            </w:pPr>
            <w:r w:rsidRPr="00D845AA">
              <w:rPr>
                <w:rFonts w:ascii="Arial" w:hAnsi="Arial" w:cs="Arial"/>
              </w:rPr>
              <w:t>Accuracy/valuation or allocation</w:t>
            </w:r>
          </w:p>
        </w:tc>
        <w:tc>
          <w:tcPr>
            <w:tcW w:w="5760" w:type="dxa"/>
          </w:tcPr>
          <w:p w14:paraId="6B6399AB" w14:textId="77777777" w:rsidR="00D845AA" w:rsidRPr="00166622" w:rsidRDefault="00D845AA" w:rsidP="008F2306">
            <w:pPr>
              <w:pStyle w:val="Table-Cell-Left"/>
              <w:spacing w:before="120" w:after="120"/>
              <w:rPr>
                <w:rFonts w:ascii="Arial" w:hAnsi="Arial" w:cs="Arial"/>
              </w:rPr>
            </w:pPr>
            <w:r w:rsidRPr="00D845AA">
              <w:rPr>
                <w:rFonts w:ascii="Arial" w:hAnsi="Arial" w:cs="Arial"/>
              </w:rPr>
              <w:t>Amounts and other data relating to recorded transactions and events have been recorded appropriately. Assets, liabilities, and net position are included in the financial statements at appropriate amounts, and any resulting valuation or allocation adjustments are properly recorded. Financial and other information is disclosed fairly and at appropriate amounts.</w:t>
            </w:r>
          </w:p>
        </w:tc>
      </w:tr>
      <w:tr w:rsidR="006F0791" w:rsidRPr="00166622" w14:paraId="3EAD2EEF" w14:textId="77777777" w:rsidTr="00453A1F">
        <w:trPr>
          <w:trHeight w:val="288"/>
        </w:trPr>
        <w:tc>
          <w:tcPr>
            <w:tcW w:w="3600" w:type="dxa"/>
          </w:tcPr>
          <w:p w14:paraId="30DEE75F" w14:textId="77777777" w:rsidR="006F0791" w:rsidRPr="00166622" w:rsidRDefault="006F0791" w:rsidP="008F2306">
            <w:pPr>
              <w:pStyle w:val="Table-Head-Left"/>
              <w:spacing w:before="120" w:after="120"/>
              <w:rPr>
                <w:rFonts w:ascii="Arial" w:hAnsi="Arial" w:cs="Arial"/>
              </w:rPr>
            </w:pPr>
            <w:r w:rsidRPr="00166622">
              <w:rPr>
                <w:rFonts w:ascii="Arial" w:hAnsi="Arial" w:cs="Arial"/>
              </w:rPr>
              <w:t>Analytical procedures</w:t>
            </w:r>
          </w:p>
        </w:tc>
        <w:tc>
          <w:tcPr>
            <w:tcW w:w="5760" w:type="dxa"/>
          </w:tcPr>
          <w:p w14:paraId="725EECBE" w14:textId="77777777" w:rsidR="00A96EA8" w:rsidRPr="00166622" w:rsidRDefault="00EE469E" w:rsidP="008F2306">
            <w:pPr>
              <w:pStyle w:val="Table-Cell-Left"/>
              <w:spacing w:before="120" w:after="120"/>
              <w:rPr>
                <w:rFonts w:ascii="Arial" w:hAnsi="Arial" w:cs="Arial"/>
              </w:rPr>
            </w:pPr>
            <w:r w:rsidRPr="00166622">
              <w:rPr>
                <w:rFonts w:ascii="Arial" w:hAnsi="Arial" w:cs="Arial"/>
              </w:rPr>
              <w:t>The evaluations of financial information made through analysis of plausible relationships among both financial and nonfinancial data. Analytical procedures also encompass the investigation of identified fluctuations and relationships that are inconsistent with other relevant information or deviate significantly from predicted amounts.</w:t>
            </w:r>
          </w:p>
        </w:tc>
      </w:tr>
      <w:tr w:rsidR="006F0791" w:rsidRPr="00166622" w14:paraId="13878FDD" w14:textId="77777777" w:rsidTr="00453A1F">
        <w:trPr>
          <w:trHeight w:val="288"/>
        </w:trPr>
        <w:tc>
          <w:tcPr>
            <w:tcW w:w="3600" w:type="dxa"/>
          </w:tcPr>
          <w:p w14:paraId="14EE4EAF" w14:textId="77777777" w:rsidR="006F0791" w:rsidRPr="00166622" w:rsidRDefault="006F0791" w:rsidP="008F2306">
            <w:pPr>
              <w:pStyle w:val="Table-Head-Left"/>
              <w:spacing w:before="120" w:after="120"/>
              <w:rPr>
                <w:rFonts w:ascii="Arial" w:hAnsi="Arial" w:cs="Arial"/>
              </w:rPr>
            </w:pPr>
            <w:r w:rsidRPr="00166622">
              <w:rPr>
                <w:rFonts w:ascii="Arial" w:hAnsi="Arial" w:cs="Arial"/>
              </w:rPr>
              <w:t>Annual financial statement</w:t>
            </w:r>
          </w:p>
        </w:tc>
        <w:tc>
          <w:tcPr>
            <w:tcW w:w="5760" w:type="dxa"/>
          </w:tcPr>
          <w:p w14:paraId="154D4A79" w14:textId="77777777" w:rsidR="006F0791" w:rsidRPr="00166622" w:rsidRDefault="006F0791" w:rsidP="008F2306">
            <w:pPr>
              <w:pStyle w:val="Table-Cell-Left"/>
              <w:spacing w:before="120" w:after="120"/>
              <w:rPr>
                <w:rFonts w:ascii="Arial" w:hAnsi="Arial" w:cs="Arial"/>
              </w:rPr>
            </w:pPr>
            <w:r w:rsidRPr="00166622">
              <w:rPr>
                <w:rFonts w:ascii="Arial" w:hAnsi="Arial" w:cs="Arial"/>
              </w:rPr>
              <w:t>As defined by OMB, the annual financial statement comprises:</w:t>
            </w:r>
          </w:p>
          <w:p w14:paraId="512EAE97" w14:textId="77777777" w:rsidR="006F0791" w:rsidRPr="00166622" w:rsidRDefault="006F0791" w:rsidP="008F2306">
            <w:pPr>
              <w:pStyle w:val="Table-Cell-Left"/>
              <w:numPr>
                <w:ilvl w:val="3"/>
                <w:numId w:val="28"/>
              </w:numPr>
              <w:tabs>
                <w:tab w:val="clear" w:pos="2880"/>
                <w:tab w:val="num" w:pos="360"/>
              </w:tabs>
              <w:spacing w:before="120" w:after="120"/>
              <w:ind w:left="360"/>
              <w:rPr>
                <w:rFonts w:ascii="Arial" w:hAnsi="Arial" w:cs="Arial"/>
              </w:rPr>
            </w:pPr>
            <w:r w:rsidRPr="00166622">
              <w:rPr>
                <w:rFonts w:ascii="Arial" w:hAnsi="Arial" w:cs="Arial"/>
              </w:rPr>
              <w:t>unaudited Management</w:t>
            </w:r>
            <w:r w:rsidR="00CE35A1" w:rsidRPr="00166622">
              <w:rPr>
                <w:rFonts w:ascii="Arial" w:hAnsi="Arial" w:cs="Arial"/>
              </w:rPr>
              <w:t>’</w:t>
            </w:r>
            <w:r w:rsidRPr="00166622">
              <w:rPr>
                <w:rFonts w:ascii="Arial" w:hAnsi="Arial" w:cs="Arial"/>
              </w:rPr>
              <w:t>s Discussion and Analysis (MD&amp;A),</w:t>
            </w:r>
          </w:p>
          <w:p w14:paraId="06ECBE43" w14:textId="77777777" w:rsidR="006F0791" w:rsidRPr="00166622" w:rsidRDefault="006F0791" w:rsidP="008F2306">
            <w:pPr>
              <w:pStyle w:val="Table-Cell-Left"/>
              <w:numPr>
                <w:ilvl w:val="0"/>
                <w:numId w:val="28"/>
              </w:numPr>
              <w:tabs>
                <w:tab w:val="clear" w:pos="720"/>
                <w:tab w:val="num" w:pos="360"/>
              </w:tabs>
              <w:spacing w:before="120" w:after="120"/>
              <w:ind w:left="360"/>
              <w:rPr>
                <w:rFonts w:ascii="Arial" w:hAnsi="Arial" w:cs="Arial"/>
              </w:rPr>
            </w:pPr>
            <w:r w:rsidRPr="00166622">
              <w:rPr>
                <w:rFonts w:ascii="Arial" w:hAnsi="Arial" w:cs="Arial"/>
              </w:rPr>
              <w:lastRenderedPageBreak/>
              <w:t>audited basic financial statements, including note disclosures,</w:t>
            </w:r>
          </w:p>
          <w:p w14:paraId="434BB6EE" w14:textId="77777777" w:rsidR="006F0791" w:rsidRPr="00166622" w:rsidRDefault="006F0791" w:rsidP="008F2306">
            <w:pPr>
              <w:pStyle w:val="Table-Cell-Left"/>
              <w:numPr>
                <w:ilvl w:val="0"/>
                <w:numId w:val="28"/>
              </w:numPr>
              <w:tabs>
                <w:tab w:val="clear" w:pos="720"/>
                <w:tab w:val="num" w:pos="360"/>
              </w:tabs>
              <w:spacing w:before="120" w:after="120"/>
              <w:ind w:left="360"/>
              <w:rPr>
                <w:rFonts w:ascii="Arial" w:hAnsi="Arial" w:cs="Arial"/>
              </w:rPr>
            </w:pPr>
            <w:r w:rsidRPr="00166622">
              <w:rPr>
                <w:rFonts w:ascii="Arial" w:hAnsi="Arial" w:cs="Arial"/>
              </w:rPr>
              <w:t>unaudited required supplementary stewardship information (RSSI), if applicable,</w:t>
            </w:r>
          </w:p>
          <w:p w14:paraId="4AB590D7" w14:textId="77777777" w:rsidR="006F0791" w:rsidRPr="00166622" w:rsidRDefault="006F0791" w:rsidP="008F2306">
            <w:pPr>
              <w:pStyle w:val="Table-Cell-Left"/>
              <w:numPr>
                <w:ilvl w:val="0"/>
                <w:numId w:val="28"/>
              </w:numPr>
              <w:tabs>
                <w:tab w:val="clear" w:pos="720"/>
                <w:tab w:val="num" w:pos="360"/>
              </w:tabs>
              <w:spacing w:before="120" w:after="120"/>
              <w:ind w:left="360"/>
              <w:rPr>
                <w:rFonts w:ascii="Arial" w:hAnsi="Arial" w:cs="Arial"/>
              </w:rPr>
            </w:pPr>
            <w:r w:rsidRPr="00166622">
              <w:rPr>
                <w:rFonts w:ascii="Arial" w:hAnsi="Arial" w:cs="Arial"/>
              </w:rPr>
              <w:t>unaudited required supplementary information (RSI), if applicable, and</w:t>
            </w:r>
          </w:p>
          <w:p w14:paraId="328273C7" w14:textId="77777777" w:rsidR="006F0791" w:rsidRPr="00166622" w:rsidRDefault="006F0791" w:rsidP="008F2306">
            <w:pPr>
              <w:pStyle w:val="Table-Cell-Left"/>
              <w:numPr>
                <w:ilvl w:val="0"/>
                <w:numId w:val="28"/>
              </w:numPr>
              <w:tabs>
                <w:tab w:val="clear" w:pos="720"/>
                <w:tab w:val="num" w:pos="360"/>
              </w:tabs>
              <w:spacing w:before="120" w:after="120"/>
              <w:ind w:left="360"/>
              <w:rPr>
                <w:rFonts w:ascii="Arial" w:hAnsi="Arial" w:cs="Arial"/>
              </w:rPr>
            </w:pPr>
            <w:r w:rsidRPr="00166622">
              <w:rPr>
                <w:rFonts w:ascii="Arial" w:hAnsi="Arial" w:cs="Arial"/>
              </w:rPr>
              <w:t>unaudited other accompanying information, if applicable.</w:t>
            </w:r>
          </w:p>
          <w:p w14:paraId="51A073CE" w14:textId="77777777" w:rsidR="002C0134" w:rsidRPr="00166622" w:rsidRDefault="006F0791" w:rsidP="008F2306">
            <w:pPr>
              <w:pStyle w:val="Table-Cell-Left"/>
              <w:spacing w:before="120" w:after="120"/>
              <w:rPr>
                <w:rFonts w:ascii="Arial" w:hAnsi="Arial" w:cs="Arial"/>
              </w:rPr>
            </w:pPr>
            <w:r w:rsidRPr="00166622">
              <w:rPr>
                <w:rFonts w:ascii="Arial" w:hAnsi="Arial" w:cs="Arial"/>
              </w:rPr>
              <w:t>This report is also referred to as the Performance and Accountability Report</w:t>
            </w:r>
            <w:r w:rsidR="00A96EA8" w:rsidRPr="00166622">
              <w:rPr>
                <w:rFonts w:ascii="Arial" w:hAnsi="Arial" w:cs="Arial"/>
              </w:rPr>
              <w:t xml:space="preserve"> (PAR)</w:t>
            </w:r>
            <w:r w:rsidR="00CE35A1" w:rsidRPr="00166622">
              <w:rPr>
                <w:rFonts w:ascii="Arial" w:hAnsi="Arial" w:cs="Arial"/>
              </w:rPr>
              <w:t>.</w:t>
            </w:r>
          </w:p>
        </w:tc>
      </w:tr>
      <w:tr w:rsidR="00CC0034" w:rsidRPr="00166622" w14:paraId="338C8DC7" w14:textId="77777777" w:rsidTr="00453A1F">
        <w:trPr>
          <w:trHeight w:val="288"/>
        </w:trPr>
        <w:tc>
          <w:tcPr>
            <w:tcW w:w="3600" w:type="dxa"/>
            <w:shd w:val="clear" w:color="auto" w:fill="auto"/>
          </w:tcPr>
          <w:p w14:paraId="52A6C596" w14:textId="77777777" w:rsidR="00CC0034" w:rsidRPr="00393DC6" w:rsidRDefault="00CC0034" w:rsidP="008F2306">
            <w:pPr>
              <w:pStyle w:val="Table-Head-Left"/>
              <w:spacing w:before="120" w:after="120"/>
              <w:rPr>
                <w:rFonts w:ascii="Arial" w:hAnsi="Arial" w:cs="Arial"/>
              </w:rPr>
            </w:pPr>
            <w:r>
              <w:rPr>
                <w:rFonts w:ascii="Arial" w:hAnsi="Arial" w:cs="Arial"/>
              </w:rPr>
              <w:lastRenderedPageBreak/>
              <w:t>Applicable financial reporting framework</w:t>
            </w:r>
          </w:p>
        </w:tc>
        <w:tc>
          <w:tcPr>
            <w:tcW w:w="5760" w:type="dxa"/>
          </w:tcPr>
          <w:p w14:paraId="62F6DD16" w14:textId="77777777" w:rsidR="00CC0034" w:rsidRPr="00393DC6" w:rsidRDefault="00DB16AF" w:rsidP="008F2306">
            <w:pPr>
              <w:pStyle w:val="Table-Cell-Left"/>
              <w:spacing w:before="120" w:after="120"/>
              <w:rPr>
                <w:rFonts w:ascii="Arial" w:hAnsi="Arial" w:cs="Arial"/>
              </w:rPr>
            </w:pPr>
            <w:r>
              <w:rPr>
                <w:rFonts w:ascii="Arial" w:hAnsi="Arial" w:cs="Arial"/>
              </w:rPr>
              <w:t>P</w:t>
            </w:r>
            <w:r w:rsidRPr="00DB16AF">
              <w:rPr>
                <w:rFonts w:ascii="Arial" w:hAnsi="Arial" w:cs="Arial"/>
              </w:rPr>
              <w:t>rovides the criteria for management to present the financial statements of an entity, including the fair presentation of those financial statements (e.g., U.S. GAAP)</w:t>
            </w:r>
            <w:r>
              <w:rPr>
                <w:rFonts w:ascii="Arial" w:hAnsi="Arial" w:cs="Arial"/>
              </w:rPr>
              <w:t xml:space="preserve">. </w:t>
            </w:r>
            <w:r w:rsidRPr="00DB16AF">
              <w:rPr>
                <w:rFonts w:ascii="Arial" w:hAnsi="Arial" w:cs="Arial"/>
              </w:rPr>
              <w:t>The Federal Accounting Standards Advisory Board (FASAB) is the body designated by the AICPA as the source of U.S. GAAP for federal reporting entities.</w:t>
            </w:r>
          </w:p>
        </w:tc>
      </w:tr>
      <w:tr w:rsidR="006F0791" w:rsidRPr="00166622" w14:paraId="362E3181" w14:textId="77777777" w:rsidTr="00453A1F">
        <w:trPr>
          <w:trHeight w:val="288"/>
        </w:trPr>
        <w:tc>
          <w:tcPr>
            <w:tcW w:w="3600" w:type="dxa"/>
          </w:tcPr>
          <w:p w14:paraId="3227DDA4" w14:textId="77777777" w:rsidR="006F0791" w:rsidRPr="00393DC6" w:rsidRDefault="006F0791" w:rsidP="008F2306">
            <w:pPr>
              <w:pStyle w:val="Table-Head-Left"/>
              <w:spacing w:before="120" w:after="120"/>
              <w:rPr>
                <w:rFonts w:ascii="Arial" w:hAnsi="Arial" w:cs="Arial"/>
              </w:rPr>
            </w:pPr>
            <w:r w:rsidRPr="00393DC6">
              <w:rPr>
                <w:rFonts w:ascii="Arial" w:hAnsi="Arial" w:cs="Arial"/>
              </w:rPr>
              <w:t>Application controls</w:t>
            </w:r>
          </w:p>
        </w:tc>
        <w:tc>
          <w:tcPr>
            <w:tcW w:w="5760" w:type="dxa"/>
          </w:tcPr>
          <w:p w14:paraId="3E6EA7F5" w14:textId="624FB7D8" w:rsidR="00F76421" w:rsidRPr="00393DC6" w:rsidRDefault="00DF1E55" w:rsidP="002E0462">
            <w:pPr>
              <w:pStyle w:val="Table-Cell-Left"/>
              <w:spacing w:before="120" w:after="120"/>
              <w:rPr>
                <w:rFonts w:ascii="Arial" w:hAnsi="Arial" w:cs="Arial"/>
              </w:rPr>
            </w:pPr>
            <w:r w:rsidRPr="00393DC6">
              <w:rPr>
                <w:rFonts w:ascii="Arial" w:hAnsi="Arial" w:cs="Arial"/>
              </w:rPr>
              <w:t xml:space="preserve">Controls that are </w:t>
            </w:r>
            <w:r w:rsidR="006F0791" w:rsidRPr="00393DC6">
              <w:rPr>
                <w:rFonts w:ascii="Arial" w:hAnsi="Arial" w:cs="Arial"/>
              </w:rPr>
              <w:t xml:space="preserve">incorporated directly into </w:t>
            </w:r>
            <w:r w:rsidR="002E0462">
              <w:rPr>
                <w:rFonts w:ascii="Arial" w:hAnsi="Arial" w:cs="Arial"/>
              </w:rPr>
              <w:t>software programs, or applications,</w:t>
            </w:r>
            <w:r w:rsidR="006F0791" w:rsidRPr="00393DC6">
              <w:rPr>
                <w:rFonts w:ascii="Arial" w:hAnsi="Arial" w:cs="Arial"/>
              </w:rPr>
              <w:t xml:space="preserve"> to </w:t>
            </w:r>
            <w:r w:rsidRPr="00393DC6">
              <w:rPr>
                <w:rFonts w:ascii="Arial" w:hAnsi="Arial" w:cs="Arial"/>
              </w:rPr>
              <w:t xml:space="preserve">help ensure the validity, completeness, accuracy, and confidentiality of transactions and data during </w:t>
            </w:r>
            <w:r w:rsidR="002E0462">
              <w:rPr>
                <w:rFonts w:ascii="Arial" w:hAnsi="Arial" w:cs="Arial"/>
              </w:rPr>
              <w:t>information system</w:t>
            </w:r>
            <w:r w:rsidR="002E0462" w:rsidRPr="00393DC6">
              <w:rPr>
                <w:rFonts w:ascii="Arial" w:hAnsi="Arial" w:cs="Arial"/>
              </w:rPr>
              <w:t xml:space="preserve"> </w:t>
            </w:r>
            <w:r w:rsidRPr="00393DC6">
              <w:rPr>
                <w:rFonts w:ascii="Arial" w:hAnsi="Arial" w:cs="Arial"/>
              </w:rPr>
              <w:t>processing.</w:t>
            </w:r>
            <w:r w:rsidR="006F0791" w:rsidRPr="00393DC6">
              <w:rPr>
                <w:rFonts w:ascii="Arial" w:hAnsi="Arial" w:cs="Arial"/>
              </w:rPr>
              <w:t xml:space="preserve"> </w:t>
            </w:r>
          </w:p>
        </w:tc>
      </w:tr>
      <w:tr w:rsidR="006F0791" w:rsidRPr="00166622" w14:paraId="2FB9EAD7" w14:textId="77777777" w:rsidTr="00453A1F">
        <w:trPr>
          <w:trHeight w:val="288"/>
        </w:trPr>
        <w:tc>
          <w:tcPr>
            <w:tcW w:w="3600" w:type="dxa"/>
          </w:tcPr>
          <w:p w14:paraId="252DF0FD" w14:textId="77777777" w:rsidR="006F0791" w:rsidRPr="003A2CF3" w:rsidRDefault="003A2CF3" w:rsidP="002A0635">
            <w:pPr>
              <w:pStyle w:val="Table-Head-Left"/>
              <w:spacing w:before="120" w:after="120"/>
              <w:rPr>
                <w:rFonts w:ascii="Arial" w:hAnsi="Arial" w:cs="Arial"/>
              </w:rPr>
            </w:pPr>
            <w:r>
              <w:rPr>
                <w:rFonts w:ascii="Arial" w:hAnsi="Arial" w:cs="Arial"/>
              </w:rPr>
              <w:t>Appropriateness</w:t>
            </w:r>
          </w:p>
        </w:tc>
        <w:tc>
          <w:tcPr>
            <w:tcW w:w="5760" w:type="dxa"/>
          </w:tcPr>
          <w:p w14:paraId="6E82EC8E" w14:textId="77777777" w:rsidR="00F76421" w:rsidRPr="003A2CF3" w:rsidRDefault="003A2CF3" w:rsidP="002A0635">
            <w:pPr>
              <w:pStyle w:val="Table-Cell-Left"/>
              <w:spacing w:before="120" w:after="120"/>
              <w:rPr>
                <w:rFonts w:ascii="Arial" w:hAnsi="Arial" w:cs="Arial"/>
              </w:rPr>
            </w:pPr>
            <w:r w:rsidRPr="003A2CF3">
              <w:rPr>
                <w:rFonts w:ascii="Arial" w:hAnsi="Arial" w:cs="Arial"/>
              </w:rPr>
              <w:t>Appropriateness of audit evidence is the measure of the quality of audit evidence; that is, its relevance and its reliability in providing support for the conclusions on which the auditor's op</w:t>
            </w:r>
            <w:r w:rsidR="002A0635">
              <w:rPr>
                <w:rFonts w:ascii="Arial" w:hAnsi="Arial" w:cs="Arial"/>
              </w:rPr>
              <w:t>inion is based.</w:t>
            </w:r>
          </w:p>
        </w:tc>
      </w:tr>
      <w:tr w:rsidR="002A0635" w:rsidRPr="00166622" w14:paraId="418B9ECE" w14:textId="77777777" w:rsidTr="00453A1F">
        <w:trPr>
          <w:trHeight w:val="288"/>
        </w:trPr>
        <w:tc>
          <w:tcPr>
            <w:tcW w:w="3600" w:type="dxa"/>
          </w:tcPr>
          <w:p w14:paraId="0A72F946" w14:textId="77777777" w:rsidR="002A0635" w:rsidRDefault="002A0635" w:rsidP="008F2306">
            <w:pPr>
              <w:pStyle w:val="Table-Head-Left"/>
              <w:spacing w:before="120" w:after="120"/>
              <w:rPr>
                <w:rFonts w:ascii="Arial" w:hAnsi="Arial" w:cs="Arial"/>
              </w:rPr>
            </w:pPr>
            <w:r w:rsidRPr="003A2CF3">
              <w:rPr>
                <w:rFonts w:ascii="Arial" w:hAnsi="Arial" w:cs="Arial"/>
              </w:rPr>
              <w:t>Appropriation</w:t>
            </w:r>
          </w:p>
        </w:tc>
        <w:tc>
          <w:tcPr>
            <w:tcW w:w="5760" w:type="dxa"/>
          </w:tcPr>
          <w:p w14:paraId="77D1AA9F" w14:textId="77777777" w:rsidR="002A0635" w:rsidRPr="003A2CF3" w:rsidRDefault="00784B8B" w:rsidP="008F2306">
            <w:pPr>
              <w:pStyle w:val="Table-Cell-Left"/>
              <w:spacing w:before="120" w:after="120"/>
              <w:rPr>
                <w:rFonts w:ascii="Arial" w:hAnsi="Arial" w:cs="Arial"/>
              </w:rPr>
            </w:pPr>
            <w:r w:rsidRPr="00784B8B">
              <w:rPr>
                <w:rFonts w:ascii="Arial" w:hAnsi="Arial" w:cs="Arial"/>
              </w:rPr>
              <w:t>The most common form of budget authority, appropriations are statutory authority that permits federal entities to incur obligations and to make payments from the Treasury for specified purposes. Appropriations do not represent cash actually set aside in the Treasury for purposes specified in the appropriation acts. Appropriations represent amounts that entities may obligate during the period specified in the appropriation acts. Periods can be single year, multiyear, or no year.</w:t>
            </w:r>
          </w:p>
        </w:tc>
      </w:tr>
      <w:tr w:rsidR="006F0791" w:rsidRPr="00166622" w14:paraId="7F1D15D4" w14:textId="77777777" w:rsidTr="00453A1F">
        <w:trPr>
          <w:trHeight w:val="288"/>
        </w:trPr>
        <w:tc>
          <w:tcPr>
            <w:tcW w:w="3600" w:type="dxa"/>
          </w:tcPr>
          <w:p w14:paraId="24582738" w14:textId="77777777" w:rsidR="006F0791" w:rsidRPr="003A2CF3" w:rsidRDefault="006F0791" w:rsidP="008F2306">
            <w:pPr>
              <w:pStyle w:val="Table-Head-Left"/>
              <w:spacing w:before="120" w:after="120"/>
              <w:rPr>
                <w:rFonts w:ascii="Arial" w:hAnsi="Arial" w:cs="Arial"/>
              </w:rPr>
            </w:pPr>
            <w:r w:rsidRPr="003A2CF3">
              <w:rPr>
                <w:rFonts w:ascii="Arial" w:hAnsi="Arial" w:cs="Arial"/>
              </w:rPr>
              <w:t>Assertions</w:t>
            </w:r>
          </w:p>
        </w:tc>
        <w:tc>
          <w:tcPr>
            <w:tcW w:w="5760" w:type="dxa"/>
          </w:tcPr>
          <w:p w14:paraId="64E555C6" w14:textId="77777777" w:rsidR="006F0791" w:rsidRPr="003A2CF3" w:rsidRDefault="006F0791" w:rsidP="008F2306">
            <w:pPr>
              <w:pStyle w:val="Table-Cell-Left"/>
              <w:spacing w:before="120" w:after="120"/>
              <w:rPr>
                <w:rFonts w:ascii="Arial" w:hAnsi="Arial" w:cs="Arial"/>
              </w:rPr>
            </w:pPr>
            <w:r w:rsidRPr="003A2CF3">
              <w:rPr>
                <w:rFonts w:ascii="Arial" w:hAnsi="Arial" w:cs="Arial"/>
              </w:rPr>
              <w:t>Management representations that are embodied in financial statement components. The FAM classifies assertions in the following five broad categories (as described in FAM 235.02):</w:t>
            </w:r>
          </w:p>
          <w:p w14:paraId="4D18833E" w14:textId="77777777" w:rsidR="006F0791" w:rsidRPr="003A2CF3" w:rsidRDefault="006F0791" w:rsidP="008F2306">
            <w:pPr>
              <w:pStyle w:val="Table-Cell-Left"/>
              <w:numPr>
                <w:ilvl w:val="0"/>
                <w:numId w:val="29"/>
              </w:numPr>
              <w:tabs>
                <w:tab w:val="clear" w:pos="720"/>
                <w:tab w:val="num" w:pos="360"/>
              </w:tabs>
              <w:spacing w:before="120" w:after="120"/>
              <w:ind w:left="360"/>
              <w:rPr>
                <w:rFonts w:ascii="Arial" w:hAnsi="Arial" w:cs="Arial"/>
              </w:rPr>
            </w:pPr>
            <w:r w:rsidRPr="003A2CF3">
              <w:rPr>
                <w:rFonts w:ascii="Arial" w:hAnsi="Arial" w:cs="Arial"/>
              </w:rPr>
              <w:lastRenderedPageBreak/>
              <w:t>Existence or occurrence</w:t>
            </w:r>
          </w:p>
          <w:p w14:paraId="406FB418" w14:textId="77777777" w:rsidR="006F0791" w:rsidRPr="003A2CF3" w:rsidRDefault="006F0791" w:rsidP="008F2306">
            <w:pPr>
              <w:pStyle w:val="Table-Cell-Left"/>
              <w:numPr>
                <w:ilvl w:val="0"/>
                <w:numId w:val="29"/>
              </w:numPr>
              <w:tabs>
                <w:tab w:val="clear" w:pos="720"/>
                <w:tab w:val="num" w:pos="360"/>
              </w:tabs>
              <w:spacing w:before="120" w:after="120"/>
              <w:ind w:left="360"/>
              <w:rPr>
                <w:rFonts w:ascii="Arial" w:hAnsi="Arial" w:cs="Arial"/>
              </w:rPr>
            </w:pPr>
            <w:r w:rsidRPr="003A2CF3">
              <w:rPr>
                <w:rFonts w:ascii="Arial" w:hAnsi="Arial" w:cs="Arial"/>
              </w:rPr>
              <w:t>Completeness</w:t>
            </w:r>
          </w:p>
          <w:p w14:paraId="185CDD01" w14:textId="77777777" w:rsidR="006F0791" w:rsidRPr="003A2CF3" w:rsidRDefault="006F0791" w:rsidP="008F2306">
            <w:pPr>
              <w:pStyle w:val="Table-Cell-Left"/>
              <w:numPr>
                <w:ilvl w:val="0"/>
                <w:numId w:val="29"/>
              </w:numPr>
              <w:tabs>
                <w:tab w:val="clear" w:pos="720"/>
                <w:tab w:val="num" w:pos="360"/>
              </w:tabs>
              <w:spacing w:before="120" w:after="120"/>
              <w:ind w:left="360"/>
              <w:rPr>
                <w:rFonts w:ascii="Arial" w:hAnsi="Arial" w:cs="Arial"/>
              </w:rPr>
            </w:pPr>
            <w:r w:rsidRPr="003A2CF3">
              <w:rPr>
                <w:rFonts w:ascii="Arial" w:hAnsi="Arial" w:cs="Arial"/>
              </w:rPr>
              <w:t>Rights and obligations</w:t>
            </w:r>
          </w:p>
          <w:p w14:paraId="3D973280" w14:textId="77777777" w:rsidR="006F0791" w:rsidRPr="003A2CF3" w:rsidRDefault="006F0791" w:rsidP="008F2306">
            <w:pPr>
              <w:pStyle w:val="Table-Cell-Left"/>
              <w:numPr>
                <w:ilvl w:val="0"/>
                <w:numId w:val="29"/>
              </w:numPr>
              <w:tabs>
                <w:tab w:val="clear" w:pos="720"/>
                <w:tab w:val="num" w:pos="360"/>
              </w:tabs>
              <w:spacing w:before="120" w:after="120"/>
              <w:ind w:left="360"/>
              <w:rPr>
                <w:rFonts w:ascii="Arial" w:hAnsi="Arial" w:cs="Arial"/>
              </w:rPr>
            </w:pPr>
            <w:r w:rsidRPr="003A2CF3">
              <w:rPr>
                <w:rFonts w:ascii="Arial" w:hAnsi="Arial" w:cs="Arial"/>
              </w:rPr>
              <w:t>Accuracy/</w:t>
            </w:r>
            <w:r w:rsidR="00FD3351" w:rsidRPr="003A2CF3">
              <w:rPr>
                <w:rFonts w:ascii="Arial" w:hAnsi="Arial" w:cs="Arial"/>
              </w:rPr>
              <w:t>v</w:t>
            </w:r>
            <w:r w:rsidRPr="003A2CF3">
              <w:rPr>
                <w:rFonts w:ascii="Arial" w:hAnsi="Arial" w:cs="Arial"/>
              </w:rPr>
              <w:t>aluation or allocation</w:t>
            </w:r>
          </w:p>
          <w:p w14:paraId="6C7928BF" w14:textId="77777777" w:rsidR="00F76421" w:rsidRPr="002A0635" w:rsidRDefault="006F0791" w:rsidP="008F2306">
            <w:pPr>
              <w:pStyle w:val="Table-Cell-Left"/>
              <w:numPr>
                <w:ilvl w:val="0"/>
                <w:numId w:val="29"/>
              </w:numPr>
              <w:tabs>
                <w:tab w:val="clear" w:pos="720"/>
                <w:tab w:val="num" w:pos="360"/>
              </w:tabs>
              <w:spacing w:before="120" w:after="120"/>
              <w:ind w:left="360"/>
              <w:rPr>
                <w:rFonts w:ascii="Arial" w:hAnsi="Arial" w:cs="Arial"/>
              </w:rPr>
            </w:pPr>
            <w:r w:rsidRPr="003A2CF3">
              <w:rPr>
                <w:rFonts w:ascii="Arial" w:hAnsi="Arial" w:cs="Arial"/>
              </w:rPr>
              <w:t>Presentation and disclosure</w:t>
            </w:r>
          </w:p>
        </w:tc>
      </w:tr>
      <w:tr w:rsidR="009E6171" w:rsidRPr="00166622" w14:paraId="1D0B6D26" w14:textId="77777777" w:rsidTr="00453A1F">
        <w:trPr>
          <w:trHeight w:val="288"/>
        </w:trPr>
        <w:tc>
          <w:tcPr>
            <w:tcW w:w="3600" w:type="dxa"/>
          </w:tcPr>
          <w:p w14:paraId="19DB5C54" w14:textId="77777777" w:rsidR="009E6171" w:rsidRPr="003A2CF3" w:rsidRDefault="009E6171" w:rsidP="008F2306">
            <w:pPr>
              <w:pStyle w:val="Table-Head-Left"/>
              <w:spacing w:before="120" w:after="120"/>
              <w:rPr>
                <w:rFonts w:ascii="Arial" w:hAnsi="Arial" w:cs="Arial"/>
              </w:rPr>
            </w:pPr>
            <w:r>
              <w:rPr>
                <w:rFonts w:ascii="Arial" w:hAnsi="Arial" w:cs="Arial"/>
              </w:rPr>
              <w:lastRenderedPageBreak/>
              <w:t>Assistant director</w:t>
            </w:r>
          </w:p>
        </w:tc>
        <w:tc>
          <w:tcPr>
            <w:tcW w:w="5760" w:type="dxa"/>
          </w:tcPr>
          <w:p w14:paraId="0F71D52A" w14:textId="77777777" w:rsidR="009E6171" w:rsidRPr="003A2CF3" w:rsidRDefault="009E6171" w:rsidP="008F2306">
            <w:pPr>
              <w:pStyle w:val="Table-Cell-Left"/>
              <w:spacing w:before="120" w:after="120"/>
              <w:rPr>
                <w:rFonts w:ascii="Arial" w:hAnsi="Arial" w:cs="Arial"/>
              </w:rPr>
            </w:pPr>
            <w:r>
              <w:rPr>
                <w:rFonts w:ascii="Arial" w:hAnsi="Arial" w:cs="Arial"/>
              </w:rPr>
              <w:t xml:space="preserve">The person </w:t>
            </w:r>
            <w:r w:rsidRPr="009E6171">
              <w:rPr>
                <w:rFonts w:ascii="Arial" w:hAnsi="Arial" w:cs="Arial"/>
              </w:rPr>
              <w:t>responsible for the operational conduct of the audit and generally for preparation of the audit report. In public accounting firms, the audit manager may have these responsibilities.</w:t>
            </w:r>
          </w:p>
        </w:tc>
      </w:tr>
      <w:tr w:rsidR="006F0791" w:rsidRPr="00166622" w14:paraId="50810E91" w14:textId="77777777" w:rsidTr="00453A1F">
        <w:trPr>
          <w:trHeight w:val="288"/>
        </w:trPr>
        <w:tc>
          <w:tcPr>
            <w:tcW w:w="3600" w:type="dxa"/>
          </w:tcPr>
          <w:p w14:paraId="5A6709D1" w14:textId="77777777" w:rsidR="006F0791" w:rsidRPr="003A2CF3" w:rsidRDefault="006F0791" w:rsidP="008F2306">
            <w:pPr>
              <w:pStyle w:val="Table-Head-Left"/>
              <w:spacing w:before="120" w:after="120"/>
              <w:rPr>
                <w:rFonts w:ascii="Arial" w:hAnsi="Arial" w:cs="Arial"/>
              </w:rPr>
            </w:pPr>
            <w:r w:rsidRPr="003A2CF3">
              <w:rPr>
                <w:rFonts w:ascii="Arial" w:hAnsi="Arial" w:cs="Arial"/>
              </w:rPr>
              <w:t>Assurance, level of</w:t>
            </w:r>
          </w:p>
        </w:tc>
        <w:tc>
          <w:tcPr>
            <w:tcW w:w="5760" w:type="dxa"/>
          </w:tcPr>
          <w:p w14:paraId="3DF08DEA" w14:textId="77777777" w:rsidR="00F76421" w:rsidRPr="003A2CF3" w:rsidRDefault="006F0791" w:rsidP="008F2306">
            <w:pPr>
              <w:pStyle w:val="Table-Cell-Left"/>
              <w:spacing w:before="120" w:after="120"/>
              <w:rPr>
                <w:rFonts w:ascii="Arial" w:hAnsi="Arial" w:cs="Arial"/>
              </w:rPr>
            </w:pPr>
            <w:r w:rsidRPr="003A2CF3">
              <w:rPr>
                <w:rFonts w:ascii="Arial" w:hAnsi="Arial" w:cs="Arial"/>
              </w:rPr>
              <w:t>The complement of audit risk, which is an auditor judgment. This is not the same as confidence level, which r</w:t>
            </w:r>
            <w:r w:rsidR="002A0635">
              <w:rPr>
                <w:rFonts w:ascii="Arial" w:hAnsi="Arial" w:cs="Arial"/>
              </w:rPr>
              <w:t>elates to an individual sample.</w:t>
            </w:r>
          </w:p>
        </w:tc>
      </w:tr>
      <w:tr w:rsidR="006F0791" w:rsidRPr="00166622" w14:paraId="5BE67D41" w14:textId="77777777" w:rsidTr="00453A1F">
        <w:trPr>
          <w:trHeight w:val="288"/>
        </w:trPr>
        <w:tc>
          <w:tcPr>
            <w:tcW w:w="3600" w:type="dxa"/>
          </w:tcPr>
          <w:p w14:paraId="0218B23D" w14:textId="77777777" w:rsidR="006F0791" w:rsidRPr="003A2CF3" w:rsidRDefault="006F0791" w:rsidP="007D4DD0">
            <w:pPr>
              <w:pStyle w:val="Table-Head-Left"/>
              <w:spacing w:before="120" w:after="120"/>
              <w:rPr>
                <w:rFonts w:ascii="Arial" w:hAnsi="Arial" w:cs="Arial"/>
              </w:rPr>
            </w:pPr>
            <w:r w:rsidRPr="003A2CF3">
              <w:rPr>
                <w:rFonts w:ascii="Arial" w:hAnsi="Arial" w:cs="Arial"/>
              </w:rPr>
              <w:t>Attribute sampling</w:t>
            </w:r>
          </w:p>
        </w:tc>
        <w:tc>
          <w:tcPr>
            <w:tcW w:w="5760" w:type="dxa"/>
          </w:tcPr>
          <w:p w14:paraId="087A6E4F" w14:textId="77777777" w:rsidR="00F76421" w:rsidRPr="003A2CF3" w:rsidRDefault="00FA4215" w:rsidP="008F2306">
            <w:pPr>
              <w:pStyle w:val="Table-Cell-Left"/>
              <w:spacing w:before="120" w:after="120"/>
              <w:rPr>
                <w:rFonts w:ascii="Arial" w:hAnsi="Arial" w:cs="Arial"/>
              </w:rPr>
            </w:pPr>
            <w:r w:rsidRPr="003A2CF3">
              <w:rPr>
                <w:rFonts w:ascii="Arial" w:hAnsi="Arial" w:cs="Arial"/>
              </w:rPr>
              <w:t xml:space="preserve">Statistical </w:t>
            </w:r>
            <w:r w:rsidR="00DB316B" w:rsidRPr="003A2CF3">
              <w:rPr>
                <w:rFonts w:ascii="Arial" w:hAnsi="Arial" w:cs="Arial"/>
              </w:rPr>
              <w:t xml:space="preserve">sampling </w:t>
            </w:r>
            <w:r w:rsidRPr="003A2CF3">
              <w:rPr>
                <w:rFonts w:ascii="Arial" w:hAnsi="Arial" w:cs="Arial"/>
              </w:rPr>
              <w:t xml:space="preserve">that </w:t>
            </w:r>
            <w:r w:rsidR="00DB316B" w:rsidRPr="003A2CF3">
              <w:rPr>
                <w:rFonts w:ascii="Arial" w:hAnsi="Arial" w:cs="Arial"/>
              </w:rPr>
              <w:t>reach</w:t>
            </w:r>
            <w:r w:rsidRPr="003A2CF3">
              <w:rPr>
                <w:rFonts w:ascii="Arial" w:hAnsi="Arial" w:cs="Arial"/>
              </w:rPr>
              <w:t>es</w:t>
            </w:r>
            <w:r w:rsidR="00DB316B" w:rsidRPr="003A2CF3">
              <w:rPr>
                <w:rFonts w:ascii="Arial" w:hAnsi="Arial" w:cs="Arial"/>
              </w:rPr>
              <w:t xml:space="preserve"> a conclusion about a population in terms of a rate of occurrence. </w:t>
            </w:r>
            <w:r w:rsidR="00974231" w:rsidRPr="003A2CF3">
              <w:rPr>
                <w:rFonts w:ascii="Arial" w:hAnsi="Arial" w:cs="Arial"/>
              </w:rPr>
              <w:t xml:space="preserve"> </w:t>
            </w:r>
          </w:p>
        </w:tc>
      </w:tr>
      <w:tr w:rsidR="009E6171" w:rsidRPr="00166622" w14:paraId="26EEC7D2" w14:textId="77777777" w:rsidTr="00453A1F">
        <w:trPr>
          <w:trHeight w:val="288"/>
        </w:trPr>
        <w:tc>
          <w:tcPr>
            <w:tcW w:w="3600" w:type="dxa"/>
          </w:tcPr>
          <w:p w14:paraId="34600C0F" w14:textId="77777777" w:rsidR="009E6171" w:rsidRPr="003A2CF3" w:rsidRDefault="009E6171" w:rsidP="008F2306">
            <w:pPr>
              <w:pStyle w:val="Table-Head-Left"/>
              <w:spacing w:before="120" w:after="120"/>
              <w:rPr>
                <w:rFonts w:ascii="Arial" w:hAnsi="Arial" w:cs="Arial"/>
              </w:rPr>
            </w:pPr>
            <w:r>
              <w:rPr>
                <w:rFonts w:ascii="Arial" w:hAnsi="Arial" w:cs="Arial"/>
              </w:rPr>
              <w:t>Audit director (first partner)</w:t>
            </w:r>
          </w:p>
        </w:tc>
        <w:tc>
          <w:tcPr>
            <w:tcW w:w="5760" w:type="dxa"/>
          </w:tcPr>
          <w:p w14:paraId="63BB63C1" w14:textId="77777777" w:rsidR="009E6171" w:rsidRPr="003A2CF3" w:rsidRDefault="009E6171" w:rsidP="008F2306">
            <w:pPr>
              <w:pStyle w:val="Table-Cell-Left"/>
              <w:spacing w:before="120" w:after="120"/>
              <w:rPr>
                <w:rFonts w:ascii="Arial" w:hAnsi="Arial" w:cs="Arial"/>
              </w:rPr>
            </w:pPr>
            <w:r>
              <w:rPr>
                <w:rFonts w:ascii="Arial" w:hAnsi="Arial" w:cs="Arial"/>
              </w:rPr>
              <w:t xml:space="preserve">The person </w:t>
            </w:r>
            <w:r w:rsidRPr="009E6171">
              <w:rPr>
                <w:rFonts w:ascii="Arial" w:hAnsi="Arial" w:cs="Arial"/>
              </w:rPr>
              <w:t>responsible for the quality of the financial statement audit and the audit report, reporting to the assistant IG for the audit or, at GAO, to the managing director.</w:t>
            </w:r>
          </w:p>
        </w:tc>
      </w:tr>
      <w:tr w:rsidR="0054283F" w:rsidRPr="00166622" w14:paraId="27CAF9C5" w14:textId="77777777" w:rsidTr="00453A1F">
        <w:trPr>
          <w:trHeight w:val="288"/>
        </w:trPr>
        <w:tc>
          <w:tcPr>
            <w:tcW w:w="3600" w:type="dxa"/>
          </w:tcPr>
          <w:p w14:paraId="31747B90" w14:textId="77777777" w:rsidR="0054283F" w:rsidRPr="003A2CF3" w:rsidRDefault="0054283F" w:rsidP="008F2306">
            <w:pPr>
              <w:pStyle w:val="Table-Head-Left"/>
              <w:spacing w:before="120" w:after="120"/>
              <w:rPr>
                <w:rFonts w:ascii="Arial" w:hAnsi="Arial" w:cs="Arial"/>
              </w:rPr>
            </w:pPr>
            <w:r w:rsidRPr="003A2CF3">
              <w:rPr>
                <w:rFonts w:ascii="Arial" w:hAnsi="Arial" w:cs="Arial"/>
              </w:rPr>
              <w:t>Audit evidence</w:t>
            </w:r>
          </w:p>
        </w:tc>
        <w:tc>
          <w:tcPr>
            <w:tcW w:w="5760" w:type="dxa"/>
          </w:tcPr>
          <w:p w14:paraId="5CB50699" w14:textId="77777777" w:rsidR="003A2CF3" w:rsidRPr="003A2CF3" w:rsidRDefault="0054283F" w:rsidP="009F5238">
            <w:pPr>
              <w:pStyle w:val="Table-Cell-Left"/>
              <w:spacing w:before="120" w:after="120"/>
              <w:rPr>
                <w:rFonts w:ascii="Arial" w:hAnsi="Arial" w:cs="Arial"/>
              </w:rPr>
            </w:pPr>
            <w:r w:rsidRPr="003A2CF3">
              <w:rPr>
                <w:rFonts w:ascii="Arial" w:hAnsi="Arial" w:cs="Arial"/>
              </w:rPr>
              <w:t>All the information used by the auditor in arriving at the conclusions on which the auditor’s reports are based</w:t>
            </w:r>
            <w:r w:rsidR="009F5238">
              <w:rPr>
                <w:rFonts w:ascii="Arial" w:hAnsi="Arial" w:cs="Arial"/>
              </w:rPr>
              <w:t>, including</w:t>
            </w:r>
            <w:r w:rsidRPr="003A2CF3">
              <w:rPr>
                <w:rFonts w:ascii="Arial" w:hAnsi="Arial" w:cs="Arial"/>
              </w:rPr>
              <w:t xml:space="preserve"> the information contained in the accounting records underlying the financial statements and other information.</w:t>
            </w:r>
            <w:r w:rsidR="009870EB" w:rsidRPr="003A2CF3">
              <w:rPr>
                <w:rFonts w:ascii="Arial" w:hAnsi="Arial" w:cs="Arial"/>
              </w:rPr>
              <w:t xml:space="preserve"> </w:t>
            </w:r>
          </w:p>
        </w:tc>
      </w:tr>
      <w:tr w:rsidR="006F0791" w:rsidRPr="00166622" w14:paraId="442E9278" w14:textId="77777777" w:rsidTr="00453A1F">
        <w:trPr>
          <w:trHeight w:val="288"/>
        </w:trPr>
        <w:tc>
          <w:tcPr>
            <w:tcW w:w="3600" w:type="dxa"/>
          </w:tcPr>
          <w:p w14:paraId="30DCBA68" w14:textId="77777777" w:rsidR="006F0791" w:rsidRPr="002A0635" w:rsidRDefault="006F0791" w:rsidP="008F2306">
            <w:pPr>
              <w:pStyle w:val="Table-Head-Left"/>
              <w:spacing w:before="120" w:after="120"/>
              <w:rPr>
                <w:rFonts w:ascii="Arial" w:hAnsi="Arial" w:cs="Arial"/>
              </w:rPr>
            </w:pPr>
            <w:r w:rsidRPr="002A0635">
              <w:rPr>
                <w:rFonts w:ascii="Arial" w:hAnsi="Arial" w:cs="Arial"/>
              </w:rPr>
              <w:t>Audit risk</w:t>
            </w:r>
          </w:p>
        </w:tc>
        <w:tc>
          <w:tcPr>
            <w:tcW w:w="5760" w:type="dxa"/>
          </w:tcPr>
          <w:p w14:paraId="1EE7F855" w14:textId="77777777" w:rsidR="006F0791" w:rsidRPr="002A0635" w:rsidRDefault="00FA6794" w:rsidP="002A4061">
            <w:pPr>
              <w:pStyle w:val="Table-Cell-Left"/>
              <w:spacing w:before="120" w:after="120"/>
              <w:rPr>
                <w:rFonts w:ascii="Arial" w:hAnsi="Arial" w:cs="Arial"/>
              </w:rPr>
            </w:pPr>
            <w:r w:rsidRPr="002A0635">
              <w:rPr>
                <w:rFonts w:ascii="Arial" w:hAnsi="Arial" w:cs="Arial"/>
              </w:rPr>
              <w:t>The risk that the auditor expresses an inappropriate audit opinion when the financial statements are materially misstated. Audit risk is</w:t>
            </w:r>
            <w:r w:rsidR="002A4061">
              <w:rPr>
                <w:rFonts w:ascii="Arial" w:hAnsi="Arial" w:cs="Arial"/>
              </w:rPr>
              <w:t xml:space="preserve"> composed of inherenet risk, control risk, risk of material misstatement, detection risk, and fraud risk</w:t>
            </w:r>
            <w:r w:rsidRPr="002A0635">
              <w:rPr>
                <w:rFonts w:ascii="Arial" w:hAnsi="Arial" w:cs="Arial"/>
              </w:rPr>
              <w:t>.</w:t>
            </w:r>
          </w:p>
        </w:tc>
      </w:tr>
      <w:tr w:rsidR="006F0791" w:rsidRPr="00166622" w14:paraId="69DC48C0" w14:textId="77777777" w:rsidTr="00453A1F">
        <w:trPr>
          <w:trHeight w:val="288"/>
        </w:trPr>
        <w:tc>
          <w:tcPr>
            <w:tcW w:w="3600" w:type="dxa"/>
          </w:tcPr>
          <w:p w14:paraId="49B5EB45" w14:textId="77777777" w:rsidR="006F0791" w:rsidRPr="00166622" w:rsidRDefault="006F0791" w:rsidP="008F2306">
            <w:pPr>
              <w:pStyle w:val="Table-Head-Left"/>
              <w:spacing w:before="120" w:after="120"/>
              <w:rPr>
                <w:rFonts w:ascii="Arial" w:hAnsi="Arial" w:cs="Arial"/>
                <w:highlight w:val="green"/>
              </w:rPr>
            </w:pPr>
            <w:r w:rsidRPr="00784B8B">
              <w:rPr>
                <w:rFonts w:ascii="Arial" w:hAnsi="Arial" w:cs="Arial"/>
              </w:rPr>
              <w:t>Borrowing authority</w:t>
            </w:r>
          </w:p>
        </w:tc>
        <w:tc>
          <w:tcPr>
            <w:tcW w:w="5760" w:type="dxa"/>
          </w:tcPr>
          <w:p w14:paraId="630FA290" w14:textId="77777777" w:rsidR="007C476E" w:rsidRPr="00166622" w:rsidRDefault="00784B8B" w:rsidP="008F2306">
            <w:pPr>
              <w:pStyle w:val="Table-Cell-Left"/>
              <w:spacing w:before="120" w:after="120"/>
              <w:rPr>
                <w:rFonts w:ascii="Arial" w:hAnsi="Arial" w:cs="Arial"/>
                <w:highlight w:val="green"/>
              </w:rPr>
            </w:pPr>
            <w:r w:rsidRPr="00784B8B">
              <w:rPr>
                <w:rFonts w:ascii="Arial" w:hAnsi="Arial" w:cs="Arial"/>
              </w:rPr>
              <w:t>Statutory authority that permits federal entities to borrow money and then to obligate against amounts borrowed. The amount to be borrowed may be definite or indefinite in nature, and the purposes for which the borrowed funds are to be used are stipulated by the authorizing statute.</w:t>
            </w:r>
          </w:p>
        </w:tc>
      </w:tr>
      <w:tr w:rsidR="006F0791" w:rsidRPr="00166622" w14:paraId="66609DFB" w14:textId="77777777" w:rsidTr="00453A1F">
        <w:trPr>
          <w:trHeight w:val="288"/>
        </w:trPr>
        <w:tc>
          <w:tcPr>
            <w:tcW w:w="3600" w:type="dxa"/>
          </w:tcPr>
          <w:p w14:paraId="42DFD0CE" w14:textId="77777777" w:rsidR="006F0791" w:rsidRPr="00327B61" w:rsidRDefault="006F0791" w:rsidP="008F2306">
            <w:pPr>
              <w:pStyle w:val="Table-Head-Left"/>
              <w:spacing w:before="120" w:after="120"/>
              <w:rPr>
                <w:rFonts w:ascii="Arial" w:hAnsi="Arial" w:cs="Arial"/>
              </w:rPr>
            </w:pPr>
            <w:r w:rsidRPr="00327B61">
              <w:rPr>
                <w:rFonts w:ascii="Arial" w:hAnsi="Arial" w:cs="Arial"/>
              </w:rPr>
              <w:t>Budget authority</w:t>
            </w:r>
          </w:p>
        </w:tc>
        <w:tc>
          <w:tcPr>
            <w:tcW w:w="5760" w:type="dxa"/>
          </w:tcPr>
          <w:p w14:paraId="1F5A4D9F" w14:textId="77777777" w:rsidR="002A4061" w:rsidRPr="00327B61" w:rsidRDefault="006F0791" w:rsidP="002A4061">
            <w:pPr>
              <w:pStyle w:val="Table-Cell-Left"/>
              <w:spacing w:before="120" w:after="120"/>
              <w:rPr>
                <w:rFonts w:ascii="Arial" w:hAnsi="Arial" w:cs="Arial"/>
              </w:rPr>
            </w:pPr>
            <w:r w:rsidRPr="00327B61">
              <w:rPr>
                <w:rFonts w:ascii="Arial" w:hAnsi="Arial" w:cs="Arial"/>
              </w:rPr>
              <w:t xml:space="preserve">Authority </w:t>
            </w:r>
            <w:r w:rsidR="00784B8B" w:rsidRPr="00784B8B">
              <w:rPr>
                <w:rFonts w:ascii="Arial" w:hAnsi="Arial" w:cs="Arial"/>
              </w:rPr>
              <w:t xml:space="preserve">provided by law to allow federal entities to enter into financial obligations that will result in immediate or future outlays involving government funds. The Congress provides an entity with budget </w:t>
            </w:r>
            <w:r w:rsidR="00784B8B" w:rsidRPr="00784B8B">
              <w:rPr>
                <w:rFonts w:ascii="Arial" w:hAnsi="Arial" w:cs="Arial"/>
              </w:rPr>
              <w:lastRenderedPageBreak/>
              <w:t xml:space="preserve">authority and may place restrictions on the amount, purpose, and timing of the obligation or outlay of such authority. </w:t>
            </w:r>
            <w:r w:rsidRPr="00327B61">
              <w:rPr>
                <w:rFonts w:ascii="Arial" w:hAnsi="Arial" w:cs="Arial"/>
              </w:rPr>
              <w:t xml:space="preserve">The basic forms of budget authority include (1) appropriations, (2) borrowing authority, (3) contract authority, and (4) authority to obligate and expend offsetting receipts and collections. </w:t>
            </w:r>
          </w:p>
        </w:tc>
      </w:tr>
      <w:tr w:rsidR="006F0791" w:rsidRPr="00166622" w14:paraId="65DEC54A" w14:textId="77777777" w:rsidTr="00453A1F">
        <w:trPr>
          <w:trHeight w:val="288"/>
        </w:trPr>
        <w:tc>
          <w:tcPr>
            <w:tcW w:w="3600" w:type="dxa"/>
          </w:tcPr>
          <w:p w14:paraId="2399A27E" w14:textId="77777777" w:rsidR="006F0791" w:rsidRPr="00327B61" w:rsidRDefault="006F0791" w:rsidP="008F2306">
            <w:pPr>
              <w:pStyle w:val="Table-Head-Left"/>
              <w:spacing w:before="120" w:after="120"/>
              <w:rPr>
                <w:rFonts w:ascii="Arial" w:hAnsi="Arial" w:cs="Arial"/>
              </w:rPr>
            </w:pPr>
            <w:r w:rsidRPr="00327B61">
              <w:rPr>
                <w:rFonts w:ascii="Arial" w:hAnsi="Arial" w:cs="Arial"/>
              </w:rPr>
              <w:lastRenderedPageBreak/>
              <w:t>Budget controls</w:t>
            </w:r>
          </w:p>
        </w:tc>
        <w:tc>
          <w:tcPr>
            <w:tcW w:w="5760" w:type="dxa"/>
          </w:tcPr>
          <w:p w14:paraId="57FB7C5C" w14:textId="77777777" w:rsidR="006F0791" w:rsidRPr="00327B61" w:rsidRDefault="006F0791" w:rsidP="00784B8B">
            <w:pPr>
              <w:pStyle w:val="Table-Cell-Left"/>
              <w:spacing w:before="120" w:after="120"/>
              <w:rPr>
                <w:rFonts w:ascii="Arial" w:hAnsi="Arial" w:cs="Arial"/>
              </w:rPr>
            </w:pPr>
            <w:r w:rsidRPr="00327B61">
              <w:rPr>
                <w:rFonts w:ascii="Arial" w:hAnsi="Arial" w:cs="Arial"/>
              </w:rPr>
              <w:t>Management</w:t>
            </w:r>
            <w:r w:rsidR="00CE35A1" w:rsidRPr="00327B61">
              <w:rPr>
                <w:rFonts w:ascii="Arial" w:hAnsi="Arial" w:cs="Arial"/>
              </w:rPr>
              <w:t>’</w:t>
            </w:r>
            <w:r w:rsidRPr="00327B61">
              <w:rPr>
                <w:rFonts w:ascii="Arial" w:hAnsi="Arial" w:cs="Arial"/>
              </w:rPr>
              <w:t xml:space="preserve">s policies and procedures for managing and controlling the use of appropriated funds and other forms of budget authority. </w:t>
            </w:r>
          </w:p>
        </w:tc>
      </w:tr>
      <w:tr w:rsidR="006A33F2" w:rsidRPr="00166622" w14:paraId="2E501B86" w14:textId="77777777" w:rsidTr="00453A1F">
        <w:trPr>
          <w:trHeight w:val="288"/>
        </w:trPr>
        <w:tc>
          <w:tcPr>
            <w:tcW w:w="3600" w:type="dxa"/>
          </w:tcPr>
          <w:p w14:paraId="2E4388FE" w14:textId="77777777" w:rsidR="006A33F2" w:rsidRPr="004D581B" w:rsidRDefault="006A33F2" w:rsidP="006A33F2">
            <w:pPr>
              <w:pStyle w:val="Table-Head-Left"/>
              <w:spacing w:before="120" w:after="120"/>
              <w:rPr>
                <w:rFonts w:ascii="Arial" w:hAnsi="Arial" w:cs="Arial"/>
              </w:rPr>
            </w:pPr>
            <w:r w:rsidRPr="004D581B">
              <w:rPr>
                <w:rFonts w:ascii="Arial" w:hAnsi="Arial" w:cs="Arial"/>
              </w:rPr>
              <w:t>Canceled (closed) account</w:t>
            </w:r>
          </w:p>
        </w:tc>
        <w:tc>
          <w:tcPr>
            <w:tcW w:w="5760" w:type="dxa"/>
          </w:tcPr>
          <w:p w14:paraId="6FEB3B55" w14:textId="77777777" w:rsidR="006A33F2" w:rsidRPr="004D581B" w:rsidRDefault="006A33F2" w:rsidP="005A297D">
            <w:pPr>
              <w:pStyle w:val="Table-Cell-Left"/>
              <w:spacing w:before="120" w:after="120"/>
              <w:rPr>
                <w:rFonts w:ascii="Arial" w:hAnsi="Arial" w:cs="Arial"/>
              </w:rPr>
            </w:pPr>
            <w:r w:rsidRPr="004D581B">
              <w:rPr>
                <w:rFonts w:ascii="Arial" w:hAnsi="Arial" w:cs="Arial"/>
              </w:rPr>
              <w:t>An appropriation account whose balance has been canceled. Once balances are canceled, the amounts are not available for obligation or expenditure for any purpose.</w:t>
            </w:r>
          </w:p>
        </w:tc>
      </w:tr>
      <w:tr w:rsidR="006A33F2" w:rsidRPr="00166622" w14:paraId="352916FB" w14:textId="77777777" w:rsidTr="00453A1F">
        <w:trPr>
          <w:trHeight w:val="288"/>
        </w:trPr>
        <w:tc>
          <w:tcPr>
            <w:tcW w:w="3600" w:type="dxa"/>
            <w:shd w:val="clear" w:color="auto" w:fill="auto"/>
          </w:tcPr>
          <w:p w14:paraId="523CB008" w14:textId="77777777" w:rsidR="006A33F2" w:rsidRPr="00327B61" w:rsidRDefault="006A33F2" w:rsidP="008F2306">
            <w:pPr>
              <w:pStyle w:val="Table-Head-Left"/>
              <w:spacing w:before="120" w:after="120"/>
              <w:rPr>
                <w:rFonts w:ascii="Arial" w:hAnsi="Arial" w:cs="Arial"/>
              </w:rPr>
            </w:pPr>
            <w:r w:rsidRPr="00327B61">
              <w:rPr>
                <w:rFonts w:ascii="Arial" w:hAnsi="Arial" w:cs="Arial"/>
              </w:rPr>
              <w:t>Cause and effect basis</w:t>
            </w:r>
          </w:p>
        </w:tc>
        <w:tc>
          <w:tcPr>
            <w:tcW w:w="5760" w:type="dxa"/>
          </w:tcPr>
          <w:p w14:paraId="7D3A0043" w14:textId="77777777" w:rsidR="006A33F2" w:rsidRPr="00327B61" w:rsidRDefault="006A33F2" w:rsidP="008F2306">
            <w:pPr>
              <w:pStyle w:val="Table-Cell-Left"/>
              <w:spacing w:before="120" w:after="120"/>
              <w:rPr>
                <w:rFonts w:ascii="Arial" w:hAnsi="Arial" w:cs="Arial"/>
              </w:rPr>
            </w:pPr>
            <w:r w:rsidRPr="00327B61">
              <w:rPr>
                <w:rFonts w:ascii="Arial" w:hAnsi="Arial" w:cs="Arial"/>
              </w:rPr>
              <w:t>In cost accounting, a way to group costs into cost pools in which an intermediate activity may be a link be</w:t>
            </w:r>
            <w:r>
              <w:rPr>
                <w:rFonts w:ascii="Arial" w:hAnsi="Arial" w:cs="Arial"/>
              </w:rPr>
              <w:t>tween the cause and the effect.</w:t>
            </w:r>
          </w:p>
        </w:tc>
      </w:tr>
      <w:tr w:rsidR="006A33F2" w:rsidRPr="00166622" w14:paraId="788BCEB5" w14:textId="77777777" w:rsidTr="00453A1F">
        <w:trPr>
          <w:trHeight w:val="288"/>
        </w:trPr>
        <w:tc>
          <w:tcPr>
            <w:tcW w:w="3600" w:type="dxa"/>
            <w:shd w:val="clear" w:color="auto" w:fill="auto"/>
          </w:tcPr>
          <w:p w14:paraId="046372C7" w14:textId="77777777" w:rsidR="006A33F2" w:rsidRPr="00A03505" w:rsidRDefault="006A33F2" w:rsidP="00A03505">
            <w:pPr>
              <w:pStyle w:val="Table-Head-Left"/>
              <w:spacing w:before="120"/>
              <w:rPr>
                <w:rFonts w:ascii="Arial" w:hAnsi="Arial" w:cs="Arial"/>
              </w:rPr>
            </w:pPr>
            <w:r w:rsidRPr="00A03505">
              <w:rPr>
                <w:rFonts w:ascii="Arial" w:hAnsi="Arial" w:cs="Arial"/>
              </w:rPr>
              <w:t>Classical probability proportional to size</w:t>
            </w:r>
          </w:p>
          <w:p w14:paraId="7636FCBA" w14:textId="77777777" w:rsidR="006A33F2" w:rsidRPr="00A03505" w:rsidRDefault="006A33F2" w:rsidP="00A03505">
            <w:pPr>
              <w:pStyle w:val="Table-Head-Left"/>
              <w:spacing w:after="120"/>
              <w:rPr>
                <w:rFonts w:ascii="Arial" w:hAnsi="Arial" w:cs="Arial"/>
              </w:rPr>
            </w:pPr>
            <w:r w:rsidRPr="00A03505">
              <w:rPr>
                <w:rFonts w:ascii="Arial" w:hAnsi="Arial" w:cs="Arial"/>
              </w:rPr>
              <w:t>sampling</w:t>
            </w:r>
          </w:p>
        </w:tc>
        <w:tc>
          <w:tcPr>
            <w:tcW w:w="5760" w:type="dxa"/>
          </w:tcPr>
          <w:p w14:paraId="368A73DE" w14:textId="77777777" w:rsidR="006A33F2" w:rsidRPr="00A03505" w:rsidRDefault="006A33F2" w:rsidP="008F2306">
            <w:pPr>
              <w:pStyle w:val="Table-Cell-Left"/>
              <w:spacing w:before="120" w:after="120"/>
              <w:rPr>
                <w:rFonts w:ascii="Arial" w:hAnsi="Arial" w:cs="Arial"/>
              </w:rPr>
            </w:pPr>
            <w:r w:rsidRPr="00A03505">
              <w:rPr>
                <w:rFonts w:ascii="Arial" w:hAnsi="Arial" w:cs="Arial"/>
              </w:rPr>
              <w:t>A sample selection procedure that selects items for the sample in proportion to their relative size, usually their monetary amounts. Monetary unit sampling uses this method to select the sample.</w:t>
            </w:r>
          </w:p>
        </w:tc>
      </w:tr>
      <w:tr w:rsidR="006A33F2" w:rsidRPr="00166622" w14:paraId="778D0881" w14:textId="77777777" w:rsidTr="00453A1F">
        <w:trPr>
          <w:trHeight w:val="288"/>
        </w:trPr>
        <w:tc>
          <w:tcPr>
            <w:tcW w:w="3600" w:type="dxa"/>
            <w:shd w:val="clear" w:color="auto" w:fill="auto"/>
          </w:tcPr>
          <w:p w14:paraId="2685E566" w14:textId="77777777" w:rsidR="006A33F2" w:rsidRPr="00327B61" w:rsidRDefault="006A33F2" w:rsidP="00A03505">
            <w:pPr>
              <w:pStyle w:val="Table-Head-Left"/>
              <w:spacing w:before="120"/>
              <w:rPr>
                <w:rFonts w:ascii="Arial" w:hAnsi="Arial" w:cs="Arial"/>
              </w:rPr>
            </w:pPr>
            <w:r w:rsidRPr="00327B61">
              <w:rPr>
                <w:rFonts w:ascii="Arial" w:hAnsi="Arial" w:cs="Arial"/>
              </w:rPr>
              <w:t xml:space="preserve">Classical variables </w:t>
            </w:r>
            <w:r w:rsidR="004700F2">
              <w:rPr>
                <w:rFonts w:ascii="Arial" w:hAnsi="Arial" w:cs="Arial"/>
              </w:rPr>
              <w:t>(estimation)</w:t>
            </w:r>
          </w:p>
          <w:p w14:paraId="79BE4667" w14:textId="77777777" w:rsidR="006A33F2" w:rsidRPr="00327B61" w:rsidRDefault="006A33F2" w:rsidP="00A03505">
            <w:pPr>
              <w:pStyle w:val="Table-Head-Left"/>
              <w:spacing w:after="120"/>
              <w:rPr>
                <w:rFonts w:ascii="Arial" w:hAnsi="Arial" w:cs="Arial"/>
              </w:rPr>
            </w:pPr>
            <w:r w:rsidRPr="00327B61">
              <w:rPr>
                <w:rFonts w:ascii="Arial" w:hAnsi="Arial" w:cs="Arial"/>
              </w:rPr>
              <w:t>sampling</w:t>
            </w:r>
          </w:p>
        </w:tc>
        <w:tc>
          <w:tcPr>
            <w:tcW w:w="5760" w:type="dxa"/>
          </w:tcPr>
          <w:p w14:paraId="139FE125" w14:textId="77777777" w:rsidR="006A33F2" w:rsidRPr="00327B61" w:rsidRDefault="006A33F2" w:rsidP="008F2306">
            <w:pPr>
              <w:pStyle w:val="Table-Cell-Left"/>
              <w:spacing w:before="120" w:after="120"/>
              <w:rPr>
                <w:rFonts w:ascii="Arial" w:hAnsi="Arial" w:cs="Arial"/>
              </w:rPr>
            </w:pPr>
            <w:r w:rsidRPr="00327B61">
              <w:rPr>
                <w:rFonts w:ascii="Arial" w:hAnsi="Arial" w:cs="Arial"/>
              </w:rPr>
              <w:t>A sampling approach that measures sampling risk using the variation of the underlying characteristic of interest. This approach includes methods such as mean-per-unit, ratio estimation, difference estimation, and a classical form of probability proportional to size estimation.</w:t>
            </w:r>
          </w:p>
        </w:tc>
      </w:tr>
      <w:tr w:rsidR="006A33F2" w:rsidRPr="00166622" w14:paraId="21892113" w14:textId="77777777" w:rsidTr="00453A1F">
        <w:trPr>
          <w:trHeight w:val="288"/>
        </w:trPr>
        <w:tc>
          <w:tcPr>
            <w:tcW w:w="3600" w:type="dxa"/>
            <w:shd w:val="clear" w:color="auto" w:fill="auto"/>
          </w:tcPr>
          <w:p w14:paraId="788C2250" w14:textId="77777777" w:rsidR="006A33F2" w:rsidRPr="00327B61" w:rsidRDefault="006A33F2" w:rsidP="008F2306">
            <w:pPr>
              <w:pStyle w:val="Table-Head-Left"/>
              <w:spacing w:before="120" w:after="120"/>
              <w:rPr>
                <w:rFonts w:ascii="Arial" w:hAnsi="Arial" w:cs="Arial"/>
              </w:rPr>
            </w:pPr>
            <w:r w:rsidRPr="00327B61">
              <w:rPr>
                <w:rFonts w:ascii="Arial" w:hAnsi="Arial" w:cs="Arial"/>
              </w:rPr>
              <w:t>Clearly trivial</w:t>
            </w:r>
          </w:p>
        </w:tc>
        <w:tc>
          <w:tcPr>
            <w:tcW w:w="5760" w:type="dxa"/>
            <w:shd w:val="clear" w:color="auto" w:fill="auto"/>
          </w:tcPr>
          <w:p w14:paraId="330D552B" w14:textId="77777777" w:rsidR="006A33F2" w:rsidRPr="00327B61" w:rsidRDefault="006A33F2" w:rsidP="008F2306">
            <w:pPr>
              <w:pStyle w:val="Table-Cell-Left"/>
              <w:spacing w:before="120" w:after="120"/>
              <w:rPr>
                <w:rFonts w:ascii="Arial" w:hAnsi="Arial" w:cs="Arial"/>
              </w:rPr>
            </w:pPr>
            <w:r w:rsidRPr="00327B61">
              <w:rPr>
                <w:rFonts w:ascii="Arial" w:hAnsi="Arial" w:cs="Arial"/>
                <w:bCs/>
              </w:rPr>
              <w:t>The amount below which misstatements would not need to be accumulated because the auditor expects that the accumulation of such amounts clearly would not have a material effect on the financial statements.</w:t>
            </w:r>
          </w:p>
        </w:tc>
      </w:tr>
      <w:tr w:rsidR="00A94EA5" w:rsidRPr="00166622" w14:paraId="7E9A90C5" w14:textId="77777777" w:rsidTr="00453A1F">
        <w:trPr>
          <w:trHeight w:val="288"/>
        </w:trPr>
        <w:tc>
          <w:tcPr>
            <w:tcW w:w="3600" w:type="dxa"/>
          </w:tcPr>
          <w:p w14:paraId="24C69033" w14:textId="77777777" w:rsidR="00A94EA5" w:rsidRPr="00166622" w:rsidRDefault="00A94EA5" w:rsidP="008F2306">
            <w:pPr>
              <w:pStyle w:val="Table-Head-Left"/>
              <w:spacing w:before="120" w:after="120"/>
              <w:rPr>
                <w:rFonts w:ascii="Arial" w:hAnsi="Arial" w:cs="Arial"/>
              </w:rPr>
            </w:pPr>
            <w:r>
              <w:rPr>
                <w:rFonts w:ascii="Arial" w:hAnsi="Arial" w:cs="Arial"/>
              </w:rPr>
              <w:t>Client</w:t>
            </w:r>
          </w:p>
        </w:tc>
        <w:tc>
          <w:tcPr>
            <w:tcW w:w="5760" w:type="dxa"/>
          </w:tcPr>
          <w:p w14:paraId="7096B424" w14:textId="77777777" w:rsidR="00A94EA5" w:rsidRPr="00A94EA5" w:rsidRDefault="00A94EA5" w:rsidP="00A94EA5">
            <w:pPr>
              <w:pStyle w:val="Table-Cell-Left"/>
              <w:spacing w:before="120" w:after="120"/>
              <w:rPr>
                <w:rFonts w:ascii="Arial" w:hAnsi="Arial" w:cs="Arial"/>
              </w:rPr>
            </w:pPr>
            <w:r w:rsidRPr="00A94EA5">
              <w:rPr>
                <w:rFonts w:ascii="Arial" w:hAnsi="Arial" w:cs="Arial"/>
              </w:rPr>
              <w:t>In the federal environment, the “client” may include the</w:t>
            </w:r>
          </w:p>
          <w:p w14:paraId="6089AB15" w14:textId="77777777" w:rsidR="00A94EA5" w:rsidRPr="00A94EA5" w:rsidRDefault="00A94EA5" w:rsidP="00A94EA5">
            <w:pPr>
              <w:pStyle w:val="Table-Cell-Left"/>
              <w:spacing w:before="120" w:after="120"/>
              <w:rPr>
                <w:rFonts w:ascii="Arial" w:hAnsi="Arial" w:cs="Arial"/>
              </w:rPr>
            </w:pPr>
            <w:r>
              <w:rPr>
                <w:rFonts w:ascii="Arial" w:hAnsi="Arial" w:cs="Arial"/>
              </w:rPr>
              <w:t xml:space="preserve">• </w:t>
            </w:r>
            <w:r w:rsidRPr="00A94EA5">
              <w:rPr>
                <w:rFonts w:ascii="Arial" w:hAnsi="Arial" w:cs="Arial"/>
              </w:rPr>
              <w:t>management of the federal entity to be audited, including senior executive and financial managers;</w:t>
            </w:r>
          </w:p>
          <w:p w14:paraId="1C7534F3" w14:textId="77777777" w:rsidR="00A94EA5" w:rsidRPr="00A94EA5" w:rsidRDefault="00A94EA5" w:rsidP="00A94EA5">
            <w:pPr>
              <w:pStyle w:val="Table-Cell-Left"/>
              <w:spacing w:before="120" w:after="120"/>
              <w:rPr>
                <w:rFonts w:ascii="Arial" w:hAnsi="Arial" w:cs="Arial"/>
              </w:rPr>
            </w:pPr>
            <w:r>
              <w:rPr>
                <w:rFonts w:ascii="Arial" w:hAnsi="Arial" w:cs="Arial"/>
              </w:rPr>
              <w:t xml:space="preserve">• </w:t>
            </w:r>
            <w:r w:rsidRPr="00A94EA5">
              <w:rPr>
                <w:rFonts w:ascii="Arial" w:hAnsi="Arial" w:cs="Arial"/>
              </w:rPr>
              <w:t>inspector general (IG) if the IG has contracted for the audit;</w:t>
            </w:r>
          </w:p>
          <w:p w14:paraId="577D0C77" w14:textId="77777777" w:rsidR="00A94EA5" w:rsidRPr="00A94EA5" w:rsidRDefault="00A94EA5" w:rsidP="00A94EA5">
            <w:pPr>
              <w:pStyle w:val="Table-Cell-Left"/>
              <w:spacing w:before="120" w:after="120"/>
              <w:rPr>
                <w:rFonts w:ascii="Arial" w:hAnsi="Arial" w:cs="Arial"/>
              </w:rPr>
            </w:pPr>
            <w:r>
              <w:rPr>
                <w:rFonts w:ascii="Arial" w:hAnsi="Arial" w:cs="Arial"/>
              </w:rPr>
              <w:t xml:space="preserve">• </w:t>
            </w:r>
            <w:r w:rsidRPr="00A94EA5">
              <w:rPr>
                <w:rFonts w:ascii="Arial" w:hAnsi="Arial" w:cs="Arial"/>
              </w:rPr>
              <w:t>members of a board or commission responsible for the federal entity; and/or</w:t>
            </w:r>
          </w:p>
          <w:p w14:paraId="7354284A" w14:textId="77777777" w:rsidR="00A94EA5" w:rsidRPr="00166622" w:rsidRDefault="00A94EA5" w:rsidP="00A94EA5">
            <w:pPr>
              <w:pStyle w:val="Table-Cell-Left"/>
              <w:spacing w:before="120" w:after="120"/>
              <w:rPr>
                <w:rFonts w:ascii="Arial" w:hAnsi="Arial" w:cs="Arial"/>
              </w:rPr>
            </w:pPr>
            <w:r>
              <w:rPr>
                <w:rFonts w:ascii="Arial" w:hAnsi="Arial" w:cs="Arial"/>
              </w:rPr>
              <w:lastRenderedPageBreak/>
              <w:t xml:space="preserve">• </w:t>
            </w:r>
            <w:r w:rsidRPr="00A94EA5">
              <w:rPr>
                <w:rFonts w:ascii="Arial" w:hAnsi="Arial" w:cs="Arial"/>
              </w:rPr>
              <w:t>audit committee.</w:t>
            </w:r>
          </w:p>
        </w:tc>
      </w:tr>
      <w:tr w:rsidR="006A33F2" w:rsidRPr="00166622" w14:paraId="4CB0902C" w14:textId="77777777" w:rsidTr="00453A1F">
        <w:trPr>
          <w:trHeight w:val="288"/>
        </w:trPr>
        <w:tc>
          <w:tcPr>
            <w:tcW w:w="3600" w:type="dxa"/>
          </w:tcPr>
          <w:p w14:paraId="0AB0D95E" w14:textId="77777777" w:rsidR="006A33F2" w:rsidRPr="00166622" w:rsidRDefault="006A33F2" w:rsidP="008F2306">
            <w:pPr>
              <w:pStyle w:val="Table-Head-Left"/>
              <w:spacing w:before="120" w:after="120"/>
              <w:rPr>
                <w:rFonts w:ascii="Arial" w:hAnsi="Arial" w:cs="Arial"/>
              </w:rPr>
            </w:pPr>
            <w:r w:rsidRPr="00166622">
              <w:rPr>
                <w:rFonts w:ascii="Arial" w:hAnsi="Arial" w:cs="Arial"/>
              </w:rPr>
              <w:lastRenderedPageBreak/>
              <w:t>Combined precision</w:t>
            </w:r>
          </w:p>
        </w:tc>
        <w:tc>
          <w:tcPr>
            <w:tcW w:w="5760" w:type="dxa"/>
          </w:tcPr>
          <w:p w14:paraId="3D8FB21B" w14:textId="77777777" w:rsidR="006A33F2" w:rsidRPr="00166622" w:rsidRDefault="006A33F2" w:rsidP="008F2306">
            <w:pPr>
              <w:pStyle w:val="Table-Cell-Left"/>
              <w:spacing w:before="120" w:after="120"/>
              <w:rPr>
                <w:rFonts w:ascii="Arial" w:hAnsi="Arial" w:cs="Arial"/>
              </w:rPr>
            </w:pPr>
            <w:r w:rsidRPr="00166622">
              <w:rPr>
                <w:rFonts w:ascii="Arial" w:hAnsi="Arial" w:cs="Arial"/>
              </w:rPr>
              <w:t xml:space="preserve">The achieved precision for all statistical </w:t>
            </w:r>
            <w:r>
              <w:rPr>
                <w:rFonts w:ascii="Arial" w:hAnsi="Arial" w:cs="Arial"/>
              </w:rPr>
              <w:t>sampling applications.</w:t>
            </w:r>
          </w:p>
        </w:tc>
      </w:tr>
      <w:tr w:rsidR="006A33F2" w:rsidRPr="00166622" w14:paraId="0AC1EB44" w14:textId="77777777" w:rsidTr="00453A1F">
        <w:trPr>
          <w:trHeight w:val="288"/>
        </w:trPr>
        <w:tc>
          <w:tcPr>
            <w:tcW w:w="3600" w:type="dxa"/>
          </w:tcPr>
          <w:p w14:paraId="2C97C413" w14:textId="77777777" w:rsidR="006A33F2" w:rsidRPr="00327B61" w:rsidRDefault="006A33F2" w:rsidP="008F2306">
            <w:pPr>
              <w:pStyle w:val="Table-Head-Left"/>
              <w:spacing w:before="120" w:after="120"/>
              <w:rPr>
                <w:rFonts w:ascii="Arial" w:hAnsi="Arial" w:cs="Arial"/>
              </w:rPr>
            </w:pPr>
            <w:r w:rsidRPr="00327B61">
              <w:rPr>
                <w:rFonts w:ascii="Arial" w:hAnsi="Arial" w:cs="Arial"/>
              </w:rPr>
              <w:t>Commitment letter</w:t>
            </w:r>
          </w:p>
        </w:tc>
        <w:tc>
          <w:tcPr>
            <w:tcW w:w="5760" w:type="dxa"/>
          </w:tcPr>
          <w:p w14:paraId="5549C972" w14:textId="77777777" w:rsidR="006A33F2" w:rsidRPr="00327B61" w:rsidRDefault="006A33F2" w:rsidP="008F2306">
            <w:pPr>
              <w:pStyle w:val="Table-Cell-Left"/>
              <w:spacing w:before="120" w:after="120"/>
              <w:rPr>
                <w:rFonts w:ascii="Arial" w:hAnsi="Arial" w:cs="Arial"/>
              </w:rPr>
            </w:pPr>
            <w:r w:rsidRPr="00327B61">
              <w:rPr>
                <w:rFonts w:ascii="Arial" w:hAnsi="Arial" w:cs="Arial"/>
              </w:rPr>
              <w:t xml:space="preserve">A letter used by some auditors, either after a survey of work or the planning phase has been completed to confirm a commitment for a congressional request, mandate, or auditor’s statutory discretionary </w:t>
            </w:r>
            <w:r>
              <w:rPr>
                <w:rFonts w:ascii="Arial" w:hAnsi="Arial" w:cs="Arial"/>
              </w:rPr>
              <w:t>authority for any type of work.</w:t>
            </w:r>
          </w:p>
        </w:tc>
      </w:tr>
      <w:tr w:rsidR="006A33F2" w:rsidRPr="00166622" w14:paraId="64973089" w14:textId="77777777" w:rsidTr="00453A1F">
        <w:trPr>
          <w:trHeight w:val="288"/>
        </w:trPr>
        <w:tc>
          <w:tcPr>
            <w:tcW w:w="3600" w:type="dxa"/>
            <w:shd w:val="clear" w:color="auto" w:fill="auto"/>
          </w:tcPr>
          <w:p w14:paraId="4C6B42CE" w14:textId="77777777" w:rsidR="006A33F2" w:rsidRPr="00327B61" w:rsidRDefault="006A33F2" w:rsidP="008F2306">
            <w:pPr>
              <w:pStyle w:val="Table-Head-Left"/>
              <w:spacing w:before="120" w:after="120"/>
              <w:rPr>
                <w:rFonts w:ascii="Arial" w:hAnsi="Arial" w:cs="Arial"/>
              </w:rPr>
            </w:pPr>
            <w:r w:rsidRPr="00327B61">
              <w:rPr>
                <w:rFonts w:ascii="Arial" w:hAnsi="Arial" w:cs="Arial"/>
              </w:rPr>
              <w:t>Common data source</w:t>
            </w:r>
          </w:p>
        </w:tc>
        <w:tc>
          <w:tcPr>
            <w:tcW w:w="5760" w:type="dxa"/>
          </w:tcPr>
          <w:p w14:paraId="49EEAE07" w14:textId="77777777" w:rsidR="006A33F2" w:rsidRPr="00327B61" w:rsidRDefault="006A33F2" w:rsidP="008F2306">
            <w:pPr>
              <w:pStyle w:val="Table-Cell-Left"/>
              <w:spacing w:before="120" w:after="120"/>
              <w:rPr>
                <w:rFonts w:ascii="Arial" w:hAnsi="Arial" w:cs="Arial"/>
              </w:rPr>
            </w:pPr>
            <w:r w:rsidRPr="00327B61">
              <w:rPr>
                <w:rFonts w:ascii="Arial" w:hAnsi="Arial" w:cs="Arial"/>
              </w:rPr>
              <w:t>All of the financial and programmatic information available for the budgetary, cost, and financial accounting processes. It includes all financial and much non-financial data, such as environmental data, that are necessary for budgeting and financial reporting as well as evaluation and decision information developed as a result o</w:t>
            </w:r>
            <w:r>
              <w:rPr>
                <w:rFonts w:ascii="Arial" w:hAnsi="Arial" w:cs="Arial"/>
              </w:rPr>
              <w:t>f prior reporting and feedback.</w:t>
            </w:r>
          </w:p>
        </w:tc>
      </w:tr>
      <w:tr w:rsidR="006A33F2" w:rsidRPr="00166622" w14:paraId="4F43A00F" w14:textId="77777777" w:rsidTr="00453A1F">
        <w:trPr>
          <w:trHeight w:val="288"/>
        </w:trPr>
        <w:tc>
          <w:tcPr>
            <w:tcW w:w="3600" w:type="dxa"/>
          </w:tcPr>
          <w:p w14:paraId="172DEA7D" w14:textId="77777777" w:rsidR="006A33F2" w:rsidRPr="00327B61" w:rsidRDefault="006A33F2" w:rsidP="008F2306">
            <w:pPr>
              <w:pStyle w:val="Table-Head-Left"/>
              <w:spacing w:before="120" w:after="120"/>
              <w:rPr>
                <w:rFonts w:ascii="Arial" w:hAnsi="Arial" w:cs="Arial"/>
              </w:rPr>
            </w:pPr>
            <w:r w:rsidRPr="00327B61">
              <w:rPr>
                <w:rFonts w:ascii="Arial" w:hAnsi="Arial" w:cs="Arial"/>
              </w:rPr>
              <w:t>Compensating control</w:t>
            </w:r>
          </w:p>
        </w:tc>
        <w:tc>
          <w:tcPr>
            <w:tcW w:w="5760" w:type="dxa"/>
          </w:tcPr>
          <w:p w14:paraId="57897468" w14:textId="77777777" w:rsidR="006A33F2" w:rsidRPr="00327B61" w:rsidRDefault="006A33F2" w:rsidP="008F2306">
            <w:pPr>
              <w:pStyle w:val="Table-Cell-Left"/>
              <w:spacing w:before="120" w:after="120"/>
              <w:rPr>
                <w:rFonts w:ascii="Arial" w:hAnsi="Arial" w:cs="Arial"/>
              </w:rPr>
            </w:pPr>
            <w:r w:rsidRPr="00327B61">
              <w:rPr>
                <w:rFonts w:ascii="Arial" w:hAnsi="Arial" w:cs="Arial"/>
              </w:rPr>
              <w:t>A control that limits the severity of a control deficiency and prevents it from rising to the level of significant deficiency or, in s</w:t>
            </w:r>
            <w:r>
              <w:rPr>
                <w:rFonts w:ascii="Arial" w:hAnsi="Arial" w:cs="Arial"/>
              </w:rPr>
              <w:t>ome cases, a material weakness.</w:t>
            </w:r>
          </w:p>
        </w:tc>
      </w:tr>
      <w:tr w:rsidR="00D845AA" w:rsidRPr="00166622" w14:paraId="715C5770" w14:textId="77777777" w:rsidTr="00453A1F">
        <w:trPr>
          <w:trHeight w:val="288"/>
        </w:trPr>
        <w:tc>
          <w:tcPr>
            <w:tcW w:w="3600" w:type="dxa"/>
          </w:tcPr>
          <w:p w14:paraId="706036F6" w14:textId="77777777" w:rsidR="00D845AA" w:rsidRPr="00327B61" w:rsidRDefault="00D845AA" w:rsidP="008F2306">
            <w:pPr>
              <w:pStyle w:val="Table-Head-Left"/>
              <w:spacing w:before="120" w:after="120"/>
              <w:rPr>
                <w:rFonts w:ascii="Arial" w:hAnsi="Arial" w:cs="Arial"/>
              </w:rPr>
            </w:pPr>
            <w:r>
              <w:rPr>
                <w:rFonts w:ascii="Arial" w:hAnsi="Arial" w:cs="Arial"/>
              </w:rPr>
              <w:t>Completeness</w:t>
            </w:r>
          </w:p>
        </w:tc>
        <w:tc>
          <w:tcPr>
            <w:tcW w:w="5760" w:type="dxa"/>
          </w:tcPr>
          <w:p w14:paraId="36298191" w14:textId="77777777" w:rsidR="00D845AA" w:rsidRPr="00327B61" w:rsidRDefault="00D845AA" w:rsidP="008F2306">
            <w:pPr>
              <w:pStyle w:val="Table-Cell-Left"/>
              <w:spacing w:before="120" w:after="120"/>
              <w:rPr>
                <w:rFonts w:ascii="Arial" w:hAnsi="Arial" w:cs="Arial"/>
              </w:rPr>
            </w:pPr>
            <w:r w:rsidRPr="00D845AA">
              <w:rPr>
                <w:rFonts w:ascii="Arial" w:hAnsi="Arial" w:cs="Arial"/>
              </w:rPr>
              <w:t>All transactions and events that should have been recorded are recorded in the proper period. All assets, liabilities, and net position that should have been recorded have been recorded in the proper period and properly included in the financial statements.</w:t>
            </w:r>
          </w:p>
        </w:tc>
      </w:tr>
      <w:tr w:rsidR="006A33F2" w:rsidRPr="00166622" w14:paraId="09BF4C6F" w14:textId="77777777" w:rsidTr="00453A1F">
        <w:trPr>
          <w:trHeight w:val="288"/>
        </w:trPr>
        <w:tc>
          <w:tcPr>
            <w:tcW w:w="3600" w:type="dxa"/>
          </w:tcPr>
          <w:p w14:paraId="7E9353A0" w14:textId="77777777" w:rsidR="006A33F2" w:rsidRPr="00327B61" w:rsidRDefault="006A33F2" w:rsidP="008F2306">
            <w:pPr>
              <w:pStyle w:val="Table-Head-Left"/>
              <w:spacing w:before="120" w:after="120"/>
              <w:rPr>
                <w:rFonts w:ascii="Arial" w:hAnsi="Arial" w:cs="Arial"/>
              </w:rPr>
            </w:pPr>
            <w:r w:rsidRPr="00327B61">
              <w:rPr>
                <w:rFonts w:ascii="Arial" w:hAnsi="Arial" w:cs="Arial"/>
              </w:rPr>
              <w:t>Compliance control</w:t>
            </w:r>
          </w:p>
        </w:tc>
        <w:tc>
          <w:tcPr>
            <w:tcW w:w="5760" w:type="dxa"/>
          </w:tcPr>
          <w:p w14:paraId="74FC2FB6" w14:textId="77777777" w:rsidR="006A33F2" w:rsidRPr="00327B61" w:rsidRDefault="006A33F2" w:rsidP="008F2306">
            <w:pPr>
              <w:pStyle w:val="Table-Cell-Left"/>
              <w:spacing w:before="120" w:after="120"/>
              <w:rPr>
                <w:rFonts w:ascii="Arial" w:hAnsi="Arial" w:cs="Arial"/>
              </w:rPr>
            </w:pPr>
            <w:r w:rsidRPr="00327B61">
              <w:rPr>
                <w:rFonts w:ascii="Arial" w:hAnsi="Arial" w:cs="Arial"/>
              </w:rPr>
              <w:t xml:space="preserve">A process, by management and others, designed to provide reasonable assurance regarding the achievement of objectives for compliance with applicable laws, regulations, contracts and grant agreements. </w:t>
            </w:r>
          </w:p>
        </w:tc>
      </w:tr>
      <w:tr w:rsidR="006A33F2" w:rsidRPr="00166622" w14:paraId="32489138" w14:textId="77777777" w:rsidTr="00453A1F">
        <w:trPr>
          <w:trHeight w:val="288"/>
        </w:trPr>
        <w:tc>
          <w:tcPr>
            <w:tcW w:w="3600" w:type="dxa"/>
          </w:tcPr>
          <w:p w14:paraId="0AE406C9" w14:textId="77777777" w:rsidR="006A33F2" w:rsidRPr="00327B61" w:rsidRDefault="006A33F2" w:rsidP="008F2306">
            <w:pPr>
              <w:pStyle w:val="Table-Head-Left"/>
              <w:spacing w:before="120" w:after="120"/>
              <w:rPr>
                <w:rFonts w:ascii="Arial" w:hAnsi="Arial" w:cs="Arial"/>
              </w:rPr>
            </w:pPr>
            <w:r w:rsidRPr="00327B61">
              <w:rPr>
                <w:rFonts w:ascii="Arial" w:hAnsi="Arial" w:cs="Arial"/>
              </w:rPr>
              <w:t>Compliance system</w:t>
            </w:r>
          </w:p>
        </w:tc>
        <w:tc>
          <w:tcPr>
            <w:tcW w:w="5760" w:type="dxa"/>
          </w:tcPr>
          <w:p w14:paraId="68E4F2EE" w14:textId="77777777" w:rsidR="006A33F2" w:rsidRPr="00327B61" w:rsidRDefault="006A33F2" w:rsidP="008F2306">
            <w:pPr>
              <w:pStyle w:val="Table-Cell-Left"/>
              <w:spacing w:before="120" w:after="120"/>
              <w:rPr>
                <w:rFonts w:ascii="Arial" w:hAnsi="Arial" w:cs="Arial"/>
              </w:rPr>
            </w:pPr>
            <w:r w:rsidRPr="00327B61">
              <w:rPr>
                <w:rFonts w:ascii="Arial" w:hAnsi="Arial" w:cs="Arial"/>
              </w:rPr>
              <w:t>The entity’s policies and procedures to monitor compliance with laws, regulations, contracts, and grant agreements applicable to the entity.</w:t>
            </w:r>
          </w:p>
        </w:tc>
      </w:tr>
      <w:tr w:rsidR="006A33F2" w:rsidRPr="00166622" w14:paraId="6E248997" w14:textId="77777777" w:rsidTr="00453A1F">
        <w:trPr>
          <w:trHeight w:val="288"/>
        </w:trPr>
        <w:tc>
          <w:tcPr>
            <w:tcW w:w="3600" w:type="dxa"/>
          </w:tcPr>
          <w:p w14:paraId="24F7D561" w14:textId="77777777" w:rsidR="006A33F2" w:rsidRPr="00166622" w:rsidRDefault="006A33F2" w:rsidP="001035D5">
            <w:pPr>
              <w:pStyle w:val="Table-Head-Left"/>
              <w:spacing w:before="120" w:after="120"/>
              <w:rPr>
                <w:rFonts w:ascii="Arial" w:hAnsi="Arial" w:cs="Arial"/>
              </w:rPr>
            </w:pPr>
            <w:r w:rsidRPr="00166622">
              <w:rPr>
                <w:rFonts w:ascii="Arial" w:hAnsi="Arial" w:cs="Arial"/>
              </w:rPr>
              <w:t>Compliance tests</w:t>
            </w:r>
          </w:p>
        </w:tc>
        <w:tc>
          <w:tcPr>
            <w:tcW w:w="5760" w:type="dxa"/>
          </w:tcPr>
          <w:p w14:paraId="52C1C161" w14:textId="77777777" w:rsidR="006A33F2" w:rsidRPr="00166622" w:rsidRDefault="006A33F2" w:rsidP="001035D5">
            <w:pPr>
              <w:pStyle w:val="Table-Cell-Left"/>
              <w:spacing w:before="120" w:after="120"/>
              <w:rPr>
                <w:rFonts w:ascii="Arial" w:hAnsi="Arial" w:cs="Arial"/>
              </w:rPr>
            </w:pPr>
            <w:r w:rsidRPr="00166622">
              <w:rPr>
                <w:rFonts w:ascii="Arial" w:hAnsi="Arial" w:cs="Arial"/>
              </w:rPr>
              <w:t>Tests to obtain evidence on the entity’s compliance controls for each significant provision of laws, regulations, contracts, and grant agreements identified for testing, including budget controls for each relevant budget restriction.</w:t>
            </w:r>
          </w:p>
        </w:tc>
      </w:tr>
      <w:tr w:rsidR="00B44E05" w:rsidRPr="00166622" w14:paraId="244E059D" w14:textId="77777777" w:rsidTr="00453A1F">
        <w:trPr>
          <w:trHeight w:val="288"/>
        </w:trPr>
        <w:tc>
          <w:tcPr>
            <w:tcW w:w="3600" w:type="dxa"/>
          </w:tcPr>
          <w:p w14:paraId="0ABF6084" w14:textId="77777777" w:rsidR="00B44E05" w:rsidRPr="00E5209B" w:rsidRDefault="00B44E05" w:rsidP="001035D5">
            <w:pPr>
              <w:pStyle w:val="Table-Head-Left"/>
              <w:spacing w:before="120" w:after="120"/>
              <w:rPr>
                <w:rFonts w:ascii="Arial" w:hAnsi="Arial" w:cs="Arial"/>
              </w:rPr>
            </w:pPr>
            <w:r w:rsidRPr="00E5209B">
              <w:rPr>
                <w:rFonts w:ascii="Arial" w:hAnsi="Arial" w:cs="Arial"/>
              </w:rPr>
              <w:lastRenderedPageBreak/>
              <w:t>Component auditor</w:t>
            </w:r>
          </w:p>
        </w:tc>
        <w:tc>
          <w:tcPr>
            <w:tcW w:w="5760" w:type="dxa"/>
          </w:tcPr>
          <w:p w14:paraId="6AE668C4" w14:textId="77777777" w:rsidR="00B44E05" w:rsidRPr="00E5209B" w:rsidRDefault="002F3F08" w:rsidP="001035D5">
            <w:pPr>
              <w:pStyle w:val="Table-Cell-Left"/>
              <w:keepNext/>
              <w:keepLines/>
              <w:spacing w:before="120" w:after="120"/>
              <w:rPr>
                <w:rFonts w:ascii="Arial" w:hAnsi="Arial" w:cs="Arial"/>
              </w:rPr>
            </w:pPr>
            <w:r w:rsidRPr="00E5209B">
              <w:rPr>
                <w:rFonts w:ascii="Arial" w:hAnsi="Arial" w:cs="Arial"/>
              </w:rPr>
              <w:t>An auditor who performs work on the financial information of a component that will be used as audit evidence for the group audit.</w:t>
            </w:r>
          </w:p>
        </w:tc>
      </w:tr>
      <w:tr w:rsidR="006F0791" w:rsidRPr="00166622" w14:paraId="25C3F530" w14:textId="77777777" w:rsidTr="00453A1F">
        <w:trPr>
          <w:trHeight w:val="288"/>
        </w:trPr>
        <w:tc>
          <w:tcPr>
            <w:tcW w:w="3600" w:type="dxa"/>
          </w:tcPr>
          <w:p w14:paraId="603A2CC7" w14:textId="77777777" w:rsidR="006F0791" w:rsidRPr="00166622" w:rsidRDefault="006F0791" w:rsidP="001035D5">
            <w:pPr>
              <w:pStyle w:val="Table-Head-Left"/>
              <w:spacing w:before="120" w:after="120"/>
              <w:rPr>
                <w:rFonts w:ascii="Arial" w:hAnsi="Arial" w:cs="Arial"/>
              </w:rPr>
            </w:pPr>
            <w:r w:rsidRPr="00166622">
              <w:rPr>
                <w:rFonts w:ascii="Arial" w:hAnsi="Arial" w:cs="Arial"/>
              </w:rPr>
              <w:t>Confidence interval</w:t>
            </w:r>
          </w:p>
        </w:tc>
        <w:tc>
          <w:tcPr>
            <w:tcW w:w="5760" w:type="dxa"/>
          </w:tcPr>
          <w:p w14:paraId="32D4B8D8" w14:textId="77777777" w:rsidR="00CE3B75" w:rsidRPr="00166622" w:rsidRDefault="003C2D74" w:rsidP="001035D5">
            <w:pPr>
              <w:pStyle w:val="Table-Cell-Left"/>
              <w:keepNext/>
              <w:keepLines/>
              <w:spacing w:before="120" w:after="120"/>
              <w:rPr>
                <w:rFonts w:ascii="Arial" w:hAnsi="Arial" w:cs="Arial"/>
              </w:rPr>
            </w:pPr>
            <w:r w:rsidRPr="00166622">
              <w:rPr>
                <w:rFonts w:ascii="Arial" w:hAnsi="Arial" w:cs="Arial"/>
              </w:rPr>
              <w:t xml:space="preserve">A </w:t>
            </w:r>
            <w:r w:rsidR="00251D3C" w:rsidRPr="00166622">
              <w:rPr>
                <w:rFonts w:ascii="Arial" w:hAnsi="Arial" w:cs="Arial"/>
              </w:rPr>
              <w:t xml:space="preserve">statistical </w:t>
            </w:r>
            <w:r w:rsidRPr="00166622">
              <w:rPr>
                <w:rFonts w:ascii="Arial" w:hAnsi="Arial" w:cs="Arial"/>
              </w:rPr>
              <w:t>sample-based estimate expressed as an interval or range of values. The sample is designed such that there is a specified confidence level for which the population value being estimated is expected to be located within the interval.</w:t>
            </w:r>
            <w:r w:rsidR="00CE3B75" w:rsidRPr="00166622">
              <w:rPr>
                <w:rFonts w:ascii="Arial" w:hAnsi="Arial" w:cs="Arial"/>
              </w:rPr>
              <w:t xml:space="preserve"> More specifically, it is the projected misstatement or point estimate plus or minus precision at the desired confidence level and is also known as a precision or precision interval. </w:t>
            </w:r>
          </w:p>
        </w:tc>
      </w:tr>
      <w:tr w:rsidR="006F0791" w:rsidRPr="00166622" w14:paraId="3AF2DBBE" w14:textId="77777777" w:rsidTr="00453A1F">
        <w:trPr>
          <w:trHeight w:val="288"/>
        </w:trPr>
        <w:tc>
          <w:tcPr>
            <w:tcW w:w="3600" w:type="dxa"/>
            <w:shd w:val="clear" w:color="auto" w:fill="auto"/>
          </w:tcPr>
          <w:p w14:paraId="69A1E72F" w14:textId="77777777" w:rsidR="006F0791" w:rsidRPr="001035D5" w:rsidRDefault="006F0791" w:rsidP="001035D5">
            <w:pPr>
              <w:pStyle w:val="Table-Head-Left"/>
              <w:spacing w:before="120" w:after="120"/>
              <w:rPr>
                <w:rFonts w:ascii="Arial" w:hAnsi="Arial" w:cs="Arial"/>
              </w:rPr>
            </w:pPr>
            <w:r w:rsidRPr="001035D5">
              <w:rPr>
                <w:rFonts w:ascii="Arial" w:hAnsi="Arial" w:cs="Arial"/>
              </w:rPr>
              <w:t>Confidence level</w:t>
            </w:r>
          </w:p>
        </w:tc>
        <w:tc>
          <w:tcPr>
            <w:tcW w:w="5760" w:type="dxa"/>
            <w:shd w:val="clear" w:color="auto" w:fill="auto"/>
          </w:tcPr>
          <w:p w14:paraId="032EF17C" w14:textId="77777777" w:rsidR="006F0791" w:rsidRPr="001035D5" w:rsidRDefault="00F76A58" w:rsidP="00F76A58">
            <w:pPr>
              <w:pStyle w:val="Table-Cell-Left"/>
              <w:spacing w:before="120" w:after="120"/>
              <w:rPr>
                <w:rFonts w:ascii="Arial" w:hAnsi="Arial" w:cs="Arial"/>
              </w:rPr>
            </w:pPr>
            <w:r w:rsidRPr="00F76A58">
              <w:rPr>
                <w:rFonts w:ascii="Arial" w:hAnsi="Arial" w:cs="Arial"/>
                <w:szCs w:val="18"/>
              </w:rPr>
              <w:t>The probability associated with the precision, that is, the probability that the true misstatement is within the confidence interval. This is not the same as assurance</w:t>
            </w:r>
            <w:r>
              <w:rPr>
                <w:rFonts w:ascii="Arial" w:hAnsi="Arial" w:cs="Arial"/>
                <w:szCs w:val="18"/>
              </w:rPr>
              <w:t>.</w:t>
            </w:r>
          </w:p>
        </w:tc>
      </w:tr>
      <w:tr w:rsidR="006F0791" w:rsidRPr="00166622" w14:paraId="0E5E9059" w14:textId="77777777" w:rsidTr="00453A1F">
        <w:trPr>
          <w:trHeight w:val="288"/>
        </w:trPr>
        <w:tc>
          <w:tcPr>
            <w:tcW w:w="3600" w:type="dxa"/>
          </w:tcPr>
          <w:p w14:paraId="11E4DC9F" w14:textId="77777777" w:rsidR="006F0791" w:rsidRPr="00E5209B" w:rsidRDefault="006F0791" w:rsidP="001035D5">
            <w:pPr>
              <w:pStyle w:val="Table-Head-Left"/>
              <w:spacing w:before="120" w:after="120"/>
              <w:rPr>
                <w:rFonts w:ascii="Arial" w:hAnsi="Arial" w:cs="Arial"/>
              </w:rPr>
            </w:pPr>
            <w:r w:rsidRPr="00E5209B">
              <w:rPr>
                <w:rFonts w:ascii="Arial" w:hAnsi="Arial" w:cs="Arial"/>
              </w:rPr>
              <w:t>Contingency</w:t>
            </w:r>
          </w:p>
        </w:tc>
        <w:tc>
          <w:tcPr>
            <w:tcW w:w="5760" w:type="dxa"/>
          </w:tcPr>
          <w:p w14:paraId="13F08D04" w14:textId="77777777" w:rsidR="006F0791" w:rsidRPr="00E5209B" w:rsidRDefault="006F0791" w:rsidP="001035D5">
            <w:pPr>
              <w:pStyle w:val="Table-Cell-Left"/>
              <w:spacing w:before="120" w:after="120"/>
              <w:rPr>
                <w:rFonts w:ascii="Arial" w:hAnsi="Arial" w:cs="Arial"/>
              </w:rPr>
            </w:pPr>
            <w:r w:rsidRPr="00E5209B">
              <w:rPr>
                <w:rFonts w:ascii="Arial" w:hAnsi="Arial" w:cs="Arial"/>
              </w:rPr>
              <w:t>An existing condition, situation, or set of circumstances involving uncertainty as to possible gain or loss to an entity. The uncertainty will ultimately be resolved when one or more future events occur or fail to occur.</w:t>
            </w:r>
          </w:p>
        </w:tc>
      </w:tr>
      <w:tr w:rsidR="006F0791" w:rsidRPr="00166622" w14:paraId="4C41556F" w14:textId="77777777" w:rsidTr="00453A1F">
        <w:trPr>
          <w:trHeight w:val="288"/>
        </w:trPr>
        <w:tc>
          <w:tcPr>
            <w:tcW w:w="3600" w:type="dxa"/>
          </w:tcPr>
          <w:p w14:paraId="5CD45B28" w14:textId="77777777" w:rsidR="006F0791" w:rsidRPr="00784B8B" w:rsidRDefault="006F0791" w:rsidP="00784B8B">
            <w:pPr>
              <w:pStyle w:val="Table-Head-Left"/>
              <w:spacing w:before="120" w:after="120"/>
              <w:rPr>
                <w:rFonts w:ascii="Arial" w:hAnsi="Arial" w:cs="Arial"/>
              </w:rPr>
            </w:pPr>
            <w:r w:rsidRPr="00784B8B">
              <w:rPr>
                <w:rFonts w:ascii="Arial" w:hAnsi="Arial" w:cs="Arial"/>
              </w:rPr>
              <w:t>Contract authority</w:t>
            </w:r>
          </w:p>
        </w:tc>
        <w:tc>
          <w:tcPr>
            <w:tcW w:w="5760" w:type="dxa"/>
          </w:tcPr>
          <w:p w14:paraId="59B9E98B" w14:textId="77777777" w:rsidR="006F0791" w:rsidRPr="00166622" w:rsidRDefault="00784B8B" w:rsidP="00784B8B">
            <w:pPr>
              <w:pStyle w:val="Table-Cell-Left"/>
              <w:spacing w:before="120" w:after="120"/>
              <w:rPr>
                <w:rFonts w:ascii="Arial" w:hAnsi="Arial" w:cs="Arial"/>
                <w:highlight w:val="green"/>
              </w:rPr>
            </w:pPr>
            <w:r w:rsidRPr="00784B8B">
              <w:rPr>
                <w:rFonts w:ascii="Arial" w:hAnsi="Arial" w:cs="Arial"/>
              </w:rPr>
              <w:t>Statutory authority that permits obligations to be incurred in advance of appropriations or in anticipation of receipts to be credited to a revolving fund or other account (offsetting collections). Contract authority is unfunded. Subsequent funding by an appropriation or by offsetting collections is needed to liquidate the obligations incurred under the contract authority.</w:t>
            </w:r>
          </w:p>
        </w:tc>
      </w:tr>
      <w:tr w:rsidR="006F0791" w:rsidRPr="00166622" w14:paraId="09888BB5" w14:textId="77777777" w:rsidTr="00453A1F">
        <w:trPr>
          <w:trHeight w:val="288"/>
        </w:trPr>
        <w:tc>
          <w:tcPr>
            <w:tcW w:w="3600" w:type="dxa"/>
          </w:tcPr>
          <w:p w14:paraId="0177584C" w14:textId="77777777" w:rsidR="006F0791" w:rsidRPr="00A86F20" w:rsidRDefault="006F0791" w:rsidP="00A86F20">
            <w:pPr>
              <w:pStyle w:val="Table-Head-Left"/>
              <w:spacing w:before="120" w:after="120"/>
              <w:rPr>
                <w:rFonts w:ascii="Arial" w:hAnsi="Arial" w:cs="Arial"/>
              </w:rPr>
            </w:pPr>
            <w:r w:rsidRPr="00A86F20">
              <w:rPr>
                <w:rFonts w:ascii="Arial" w:hAnsi="Arial" w:cs="Arial"/>
              </w:rPr>
              <w:t>Control activities</w:t>
            </w:r>
          </w:p>
        </w:tc>
        <w:tc>
          <w:tcPr>
            <w:tcW w:w="5760" w:type="dxa"/>
          </w:tcPr>
          <w:p w14:paraId="5A830E56" w14:textId="77777777" w:rsidR="00D85B09" w:rsidRPr="00A86F20" w:rsidRDefault="006F0791" w:rsidP="00A86F20">
            <w:pPr>
              <w:pStyle w:val="Table-Cell-Left"/>
              <w:spacing w:before="120" w:after="120"/>
              <w:rPr>
                <w:rFonts w:ascii="Arial" w:hAnsi="Arial" w:cs="Arial"/>
              </w:rPr>
            </w:pPr>
            <w:r w:rsidRPr="00A86F20">
              <w:rPr>
                <w:rFonts w:ascii="Arial" w:hAnsi="Arial" w:cs="Arial"/>
              </w:rPr>
              <w:t xml:space="preserve">One of the five </w:t>
            </w:r>
            <w:r w:rsidR="00A751AE" w:rsidRPr="00A86F20">
              <w:rPr>
                <w:rFonts w:ascii="Arial" w:hAnsi="Arial" w:cs="Arial"/>
              </w:rPr>
              <w:t xml:space="preserve">components of </w:t>
            </w:r>
            <w:r w:rsidRPr="00A86F20">
              <w:rPr>
                <w:rFonts w:ascii="Arial" w:hAnsi="Arial" w:cs="Arial"/>
              </w:rPr>
              <w:t xml:space="preserve">internal control, in addition to control environment, risk assessment, information and communications, and monitoring.  </w:t>
            </w:r>
          </w:p>
          <w:p w14:paraId="70C9D1F5" w14:textId="77777777" w:rsidR="006F0791" w:rsidRPr="00A86F20" w:rsidRDefault="00D85B09" w:rsidP="00A86F20">
            <w:pPr>
              <w:pStyle w:val="Table-Cell-Left"/>
              <w:spacing w:before="120" w:after="120"/>
              <w:rPr>
                <w:rFonts w:ascii="Arial" w:hAnsi="Arial" w:cs="Arial"/>
              </w:rPr>
            </w:pPr>
            <w:r w:rsidRPr="00A86F20">
              <w:rPr>
                <w:rFonts w:ascii="Arial" w:hAnsi="Arial" w:cs="Arial"/>
                <w:bCs/>
              </w:rPr>
              <w:t>Control activities</w:t>
            </w:r>
            <w:r w:rsidRPr="00A86F20">
              <w:rPr>
                <w:rFonts w:ascii="Arial" w:hAnsi="Arial" w:cs="Arial"/>
              </w:rPr>
              <w:t xml:space="preserve"> are the policies</w:t>
            </w:r>
            <w:r w:rsidR="00A86F20" w:rsidRPr="00A86F20">
              <w:rPr>
                <w:rFonts w:ascii="Arial" w:hAnsi="Arial" w:cs="Arial"/>
              </w:rPr>
              <w:t>,</w:t>
            </w:r>
            <w:r w:rsidRPr="00A86F20">
              <w:rPr>
                <w:rFonts w:ascii="Arial" w:hAnsi="Arial" w:cs="Arial"/>
              </w:rPr>
              <w:t xml:space="preserve"> procedures</w:t>
            </w:r>
            <w:r w:rsidR="00A86F20" w:rsidRPr="00A86F20">
              <w:rPr>
                <w:rFonts w:ascii="Arial" w:hAnsi="Arial" w:cs="Arial"/>
              </w:rPr>
              <w:t>, techniques, and mechanisms</w:t>
            </w:r>
            <w:r w:rsidRPr="00A86F20">
              <w:rPr>
                <w:rFonts w:ascii="Arial" w:hAnsi="Arial" w:cs="Arial"/>
              </w:rPr>
              <w:t xml:space="preserve"> that help ensure that management directives are carried out and respond to risks in the internal control system, which includes the entity’s information system.</w:t>
            </w:r>
          </w:p>
        </w:tc>
      </w:tr>
      <w:tr w:rsidR="0005676A" w:rsidRPr="00166622" w14:paraId="63566654" w14:textId="77777777" w:rsidTr="00453A1F">
        <w:trPr>
          <w:trHeight w:val="288"/>
        </w:trPr>
        <w:tc>
          <w:tcPr>
            <w:tcW w:w="3600" w:type="dxa"/>
          </w:tcPr>
          <w:p w14:paraId="56646137" w14:textId="77777777" w:rsidR="0005676A" w:rsidRPr="00E5209B" w:rsidRDefault="0005676A" w:rsidP="00A86F20">
            <w:pPr>
              <w:pStyle w:val="Table-Head-Left"/>
              <w:spacing w:before="120" w:after="120"/>
              <w:rPr>
                <w:rFonts w:ascii="Arial" w:hAnsi="Arial" w:cs="Arial"/>
              </w:rPr>
            </w:pPr>
            <w:r w:rsidRPr="00E5209B">
              <w:rPr>
                <w:rFonts w:ascii="Arial" w:hAnsi="Arial" w:cs="Arial"/>
              </w:rPr>
              <w:t>Control deficiency</w:t>
            </w:r>
          </w:p>
        </w:tc>
        <w:tc>
          <w:tcPr>
            <w:tcW w:w="5760" w:type="dxa"/>
          </w:tcPr>
          <w:p w14:paraId="63F2593D" w14:textId="77777777" w:rsidR="0005676A" w:rsidRPr="00E5209B" w:rsidRDefault="0005676A" w:rsidP="00A86F20">
            <w:pPr>
              <w:pStyle w:val="Table-Cell-Left"/>
              <w:spacing w:before="120" w:after="120"/>
              <w:rPr>
                <w:rFonts w:ascii="Arial" w:hAnsi="Arial" w:cs="Arial"/>
              </w:rPr>
            </w:pPr>
            <w:r w:rsidRPr="00E5209B">
              <w:rPr>
                <w:rFonts w:ascii="Arial" w:hAnsi="Arial" w:cs="Arial"/>
              </w:rPr>
              <w:t xml:space="preserve">A condition when the design or operation of a control does not allow management or employees, in the normal course of performing their assigned </w:t>
            </w:r>
            <w:r w:rsidRPr="00E5209B">
              <w:rPr>
                <w:rFonts w:ascii="Arial" w:hAnsi="Arial" w:cs="Arial"/>
              </w:rPr>
              <w:lastRenderedPageBreak/>
              <w:t>functions, to prevent, or detect and correct, m</w:t>
            </w:r>
            <w:r w:rsidR="00A86F20">
              <w:rPr>
                <w:rFonts w:ascii="Arial" w:hAnsi="Arial" w:cs="Arial"/>
              </w:rPr>
              <w:t>isstatements on a timely basis.</w:t>
            </w:r>
          </w:p>
        </w:tc>
      </w:tr>
      <w:tr w:rsidR="006F0791" w:rsidRPr="00166622" w14:paraId="034C1EE7" w14:textId="77777777" w:rsidTr="00453A1F">
        <w:trPr>
          <w:trHeight w:val="288"/>
        </w:trPr>
        <w:tc>
          <w:tcPr>
            <w:tcW w:w="3600" w:type="dxa"/>
          </w:tcPr>
          <w:p w14:paraId="04A0974F" w14:textId="77777777" w:rsidR="006F0791" w:rsidRPr="00A86F20" w:rsidRDefault="006F0791" w:rsidP="00A86F20">
            <w:pPr>
              <w:pStyle w:val="Table-Head-Left"/>
              <w:spacing w:before="120" w:after="120"/>
              <w:rPr>
                <w:rFonts w:ascii="Arial" w:hAnsi="Arial" w:cs="Arial"/>
              </w:rPr>
            </w:pPr>
            <w:r w:rsidRPr="00A86F20">
              <w:rPr>
                <w:rFonts w:ascii="Arial" w:hAnsi="Arial" w:cs="Arial"/>
              </w:rPr>
              <w:lastRenderedPageBreak/>
              <w:t>Control environment</w:t>
            </w:r>
          </w:p>
        </w:tc>
        <w:tc>
          <w:tcPr>
            <w:tcW w:w="5760" w:type="dxa"/>
          </w:tcPr>
          <w:p w14:paraId="1FD96FAB" w14:textId="77777777" w:rsidR="00C73211" w:rsidRPr="00A86F20" w:rsidRDefault="00D85B09" w:rsidP="00A86F20">
            <w:pPr>
              <w:pStyle w:val="Table-Cell-Left"/>
              <w:spacing w:before="120" w:after="120"/>
              <w:rPr>
                <w:rFonts w:ascii="Arial" w:hAnsi="Arial" w:cs="Arial"/>
              </w:rPr>
            </w:pPr>
            <w:r w:rsidRPr="00A86F20">
              <w:rPr>
                <w:rFonts w:ascii="Arial" w:hAnsi="Arial" w:cs="Arial"/>
              </w:rPr>
              <w:t>One of the five components of internal control, in addition to risk assessment, control activities, information and communications, and monitoring.</w:t>
            </w:r>
          </w:p>
          <w:p w14:paraId="739DAEE9" w14:textId="77777777" w:rsidR="006F0791" w:rsidRPr="00A86F20" w:rsidRDefault="00D85B09" w:rsidP="00A86F20">
            <w:pPr>
              <w:pStyle w:val="Table-Cell-Left"/>
              <w:spacing w:before="120" w:after="120"/>
              <w:rPr>
                <w:rFonts w:ascii="Arial" w:hAnsi="Arial" w:cs="Arial"/>
              </w:rPr>
            </w:pPr>
            <w:r w:rsidRPr="00A86F20">
              <w:rPr>
                <w:rFonts w:ascii="Arial" w:hAnsi="Arial" w:cs="Arial"/>
              </w:rPr>
              <w:t>C</w:t>
            </w:r>
            <w:r w:rsidRPr="00A86F20">
              <w:rPr>
                <w:rFonts w:ascii="Arial" w:hAnsi="Arial" w:cs="Arial"/>
                <w:bCs/>
              </w:rPr>
              <w:t>ontrol environment</w:t>
            </w:r>
            <w:r w:rsidRPr="00A86F20">
              <w:rPr>
                <w:rFonts w:ascii="Arial" w:hAnsi="Arial" w:cs="Arial"/>
              </w:rPr>
              <w:t xml:space="preserve"> sets the tone of an organization, influencing the control consciousness of its people. It is the foundation for all other components of internal control, providing disci</w:t>
            </w:r>
            <w:r w:rsidR="00A86F20">
              <w:rPr>
                <w:rFonts w:ascii="Arial" w:hAnsi="Arial" w:cs="Arial"/>
              </w:rPr>
              <w:t>pline and structure.</w:t>
            </w:r>
          </w:p>
        </w:tc>
      </w:tr>
      <w:tr w:rsidR="006F0791" w:rsidRPr="00166622" w14:paraId="1356175B" w14:textId="77777777" w:rsidTr="00453A1F">
        <w:trPr>
          <w:trHeight w:val="288"/>
        </w:trPr>
        <w:tc>
          <w:tcPr>
            <w:tcW w:w="3600" w:type="dxa"/>
          </w:tcPr>
          <w:p w14:paraId="1A4A39F2" w14:textId="77777777" w:rsidR="004C42B1" w:rsidRPr="00166622" w:rsidRDefault="004C42B1" w:rsidP="00A86F20">
            <w:pPr>
              <w:pStyle w:val="Table-Head-Left"/>
              <w:spacing w:before="120" w:after="120"/>
              <w:rPr>
                <w:rFonts w:ascii="Arial" w:hAnsi="Arial" w:cs="Arial"/>
                <w:highlight w:val="yellow"/>
              </w:rPr>
            </w:pPr>
            <w:r w:rsidRPr="00E5209B">
              <w:rPr>
                <w:rFonts w:ascii="Arial" w:hAnsi="Arial" w:cs="Arial"/>
              </w:rPr>
              <w:t xml:space="preserve">Control </w:t>
            </w:r>
            <w:r w:rsidR="006244FD">
              <w:rPr>
                <w:rFonts w:ascii="Arial" w:hAnsi="Arial" w:cs="Arial"/>
              </w:rPr>
              <w:t>o</w:t>
            </w:r>
            <w:r w:rsidRPr="00E5209B">
              <w:rPr>
                <w:rFonts w:ascii="Arial" w:hAnsi="Arial" w:cs="Arial"/>
              </w:rPr>
              <w:t>bjective</w:t>
            </w:r>
          </w:p>
          <w:p w14:paraId="2C9DAAF8" w14:textId="77777777" w:rsidR="004C42B1" w:rsidRPr="00166622" w:rsidRDefault="004C42B1" w:rsidP="00A86F20">
            <w:pPr>
              <w:pStyle w:val="Table-Head-Left"/>
              <w:spacing w:before="120" w:after="120"/>
              <w:rPr>
                <w:rFonts w:ascii="Arial" w:hAnsi="Arial" w:cs="Arial"/>
                <w:highlight w:val="yellow"/>
              </w:rPr>
            </w:pPr>
          </w:p>
          <w:p w14:paraId="37B4C376" w14:textId="77777777" w:rsidR="004C42B1" w:rsidRPr="00166622" w:rsidRDefault="004C42B1" w:rsidP="00A86F20">
            <w:pPr>
              <w:pStyle w:val="Table-Head-Left"/>
              <w:spacing w:before="120" w:after="120"/>
              <w:rPr>
                <w:rFonts w:ascii="Arial" w:hAnsi="Arial" w:cs="Arial"/>
                <w:highlight w:val="yellow"/>
              </w:rPr>
            </w:pPr>
          </w:p>
          <w:p w14:paraId="2CBB57C4" w14:textId="77777777" w:rsidR="004C42B1" w:rsidRPr="00166622" w:rsidRDefault="004C42B1" w:rsidP="00A86F20">
            <w:pPr>
              <w:pStyle w:val="Table-Head-Left"/>
              <w:spacing w:before="120" w:after="120"/>
              <w:rPr>
                <w:rFonts w:ascii="Arial" w:hAnsi="Arial" w:cs="Arial"/>
                <w:highlight w:val="yellow"/>
              </w:rPr>
            </w:pPr>
          </w:p>
          <w:p w14:paraId="2A22C223" w14:textId="77777777" w:rsidR="004C42B1" w:rsidRPr="00166622" w:rsidRDefault="004C42B1" w:rsidP="00A86F20">
            <w:pPr>
              <w:pStyle w:val="Table-Head-Left"/>
              <w:spacing w:before="120" w:after="120"/>
              <w:rPr>
                <w:rFonts w:ascii="Arial" w:hAnsi="Arial" w:cs="Arial"/>
                <w:highlight w:val="yellow"/>
              </w:rPr>
            </w:pPr>
          </w:p>
          <w:p w14:paraId="127E7A94" w14:textId="77777777" w:rsidR="006F0791" w:rsidRPr="00166622" w:rsidRDefault="006F0791" w:rsidP="00A86F20">
            <w:pPr>
              <w:pStyle w:val="Table-Head-Left"/>
              <w:spacing w:before="120" w:after="120"/>
              <w:rPr>
                <w:rFonts w:ascii="Arial" w:hAnsi="Arial" w:cs="Arial"/>
                <w:highlight w:val="yellow"/>
              </w:rPr>
            </w:pPr>
          </w:p>
        </w:tc>
        <w:tc>
          <w:tcPr>
            <w:tcW w:w="5760" w:type="dxa"/>
          </w:tcPr>
          <w:p w14:paraId="19314CA5" w14:textId="77777777" w:rsidR="00C73211" w:rsidRPr="009A55CD" w:rsidRDefault="004C42B1" w:rsidP="00A86F20">
            <w:pPr>
              <w:pStyle w:val="Table-Cell-Left"/>
              <w:spacing w:before="120" w:after="120"/>
              <w:rPr>
                <w:rFonts w:ascii="Arial" w:hAnsi="Arial" w:cs="Arial"/>
              </w:rPr>
            </w:pPr>
            <w:r w:rsidRPr="00E5209B">
              <w:rPr>
                <w:rFonts w:ascii="Arial" w:hAnsi="Arial" w:cs="Arial"/>
              </w:rPr>
              <w:t>The aim or purpose of specified controls. Control objectives address the risks that the controls are intended to mitigate. In the context of ICFR, a control objective generally relates to a relevant assertion for a significant class of transactions, account balance, or disclosure and addresses the risk that the controls in a specific area will n</w:t>
            </w:r>
            <w:r w:rsidR="009A55CD">
              <w:rPr>
                <w:rFonts w:ascii="Arial" w:hAnsi="Arial" w:cs="Arial"/>
              </w:rPr>
              <w:t xml:space="preserve">ot provide reasonable assurance </w:t>
            </w:r>
            <w:r w:rsidRPr="00E5209B">
              <w:rPr>
                <w:rFonts w:ascii="Arial" w:hAnsi="Arial" w:cs="Arial"/>
              </w:rPr>
              <w:t>that a misstatement or omission in that relevant assertion is prevented, or detected and corrected, on a timely basis.</w:t>
            </w:r>
          </w:p>
        </w:tc>
      </w:tr>
      <w:tr w:rsidR="009A55CD" w:rsidRPr="00166622" w14:paraId="1ADA4868" w14:textId="77777777" w:rsidTr="00453A1F">
        <w:trPr>
          <w:trHeight w:val="288"/>
        </w:trPr>
        <w:tc>
          <w:tcPr>
            <w:tcW w:w="3600" w:type="dxa"/>
          </w:tcPr>
          <w:p w14:paraId="68CAC77C" w14:textId="77777777" w:rsidR="009A55CD" w:rsidRPr="00E5209B" w:rsidRDefault="009A55CD" w:rsidP="00A86F20">
            <w:pPr>
              <w:pStyle w:val="Table-Head-Left"/>
              <w:spacing w:before="120" w:after="120"/>
              <w:rPr>
                <w:rFonts w:ascii="Arial" w:hAnsi="Arial" w:cs="Arial"/>
              </w:rPr>
            </w:pPr>
            <w:r w:rsidRPr="00E5209B">
              <w:rPr>
                <w:rFonts w:ascii="Arial" w:hAnsi="Arial" w:cs="Arial"/>
              </w:rPr>
              <w:t>Control risk</w:t>
            </w:r>
          </w:p>
        </w:tc>
        <w:tc>
          <w:tcPr>
            <w:tcW w:w="5760" w:type="dxa"/>
          </w:tcPr>
          <w:p w14:paraId="4653E08D" w14:textId="77777777" w:rsidR="009A55CD" w:rsidRPr="00E5209B" w:rsidRDefault="009A55CD" w:rsidP="00A86F20">
            <w:pPr>
              <w:pStyle w:val="Table-Cell-Left"/>
              <w:spacing w:before="120" w:after="120"/>
              <w:rPr>
                <w:rFonts w:ascii="Arial" w:hAnsi="Arial" w:cs="Arial"/>
              </w:rPr>
            </w:pPr>
            <w:r w:rsidRPr="00E5209B">
              <w:rPr>
                <w:rFonts w:ascii="Arial" w:hAnsi="Arial" w:cs="Arial"/>
              </w:rPr>
              <w:t>The risk that a misstatement that could occur in an assertion about a class of transaction, account balance, or disclosure and that could be material, either individually or when aggregated with other misstatements, will not be prevented, or detected and corrected, on a timely basis by the entity's internal control.</w:t>
            </w:r>
            <w:r w:rsidR="00C70D4C">
              <w:rPr>
                <w:rFonts w:ascii="Arial" w:hAnsi="Arial" w:cs="Arial"/>
              </w:rPr>
              <w:t xml:space="preserve"> </w:t>
            </w:r>
            <w:r w:rsidR="00C70D4C" w:rsidRPr="00C70D4C">
              <w:rPr>
                <w:rFonts w:ascii="Arial" w:hAnsi="Arial" w:cs="Arial"/>
              </w:rPr>
              <w:t>That risk is a function of the effectiveness of the design and operation of internal control in achieving the entity’s objectives relevant to preparation and fair presentation of the entity’s financial statements. Some control risk will always exist because of the inherent limitations of internal control.</w:t>
            </w:r>
          </w:p>
        </w:tc>
      </w:tr>
      <w:tr w:rsidR="006F0791" w:rsidRPr="00166622" w14:paraId="0C8B806D" w14:textId="77777777" w:rsidTr="00453A1F">
        <w:trPr>
          <w:trHeight w:val="288"/>
        </w:trPr>
        <w:tc>
          <w:tcPr>
            <w:tcW w:w="3600" w:type="dxa"/>
          </w:tcPr>
          <w:p w14:paraId="431886B0" w14:textId="77777777" w:rsidR="006F0791" w:rsidRPr="00166622" w:rsidRDefault="006F0791" w:rsidP="00A86F20">
            <w:pPr>
              <w:pStyle w:val="Table-Head-Left"/>
              <w:spacing w:before="120" w:after="120"/>
              <w:rPr>
                <w:rFonts w:ascii="Arial" w:hAnsi="Arial" w:cs="Arial"/>
              </w:rPr>
            </w:pPr>
            <w:r w:rsidRPr="00166622">
              <w:rPr>
                <w:rFonts w:ascii="Arial" w:hAnsi="Arial" w:cs="Arial"/>
              </w:rPr>
              <w:t>Control tests</w:t>
            </w:r>
          </w:p>
        </w:tc>
        <w:tc>
          <w:tcPr>
            <w:tcW w:w="5760" w:type="dxa"/>
          </w:tcPr>
          <w:p w14:paraId="1EF3DDAA" w14:textId="77777777" w:rsidR="007C7891" w:rsidRPr="00166622" w:rsidRDefault="008D182D" w:rsidP="00A86F20">
            <w:pPr>
              <w:pStyle w:val="Table-Cell-Left"/>
              <w:spacing w:before="120" w:after="120"/>
              <w:rPr>
                <w:rFonts w:ascii="Arial" w:hAnsi="Arial" w:cs="Arial"/>
              </w:rPr>
            </w:pPr>
            <w:r>
              <w:rPr>
                <w:rFonts w:ascii="Arial" w:hAnsi="Arial" w:cs="Arial"/>
              </w:rPr>
              <w:t>A</w:t>
            </w:r>
            <w:r w:rsidRPr="008D182D">
              <w:rPr>
                <w:rFonts w:ascii="Arial" w:hAnsi="Arial" w:cs="Arial"/>
              </w:rPr>
              <w:t>udit procedure</w:t>
            </w:r>
            <w:r>
              <w:rPr>
                <w:rFonts w:ascii="Arial" w:hAnsi="Arial" w:cs="Arial"/>
              </w:rPr>
              <w:t>s</w:t>
            </w:r>
            <w:r w:rsidRPr="008D182D">
              <w:rPr>
                <w:rFonts w:ascii="Arial" w:hAnsi="Arial" w:cs="Arial"/>
              </w:rPr>
              <w:t xml:space="preserve"> designed to evaluate the operating effectiveness of controls in preventing, or detecting and correcting, material misstatements at the assertion level</w:t>
            </w:r>
            <w:r>
              <w:rPr>
                <w:rFonts w:ascii="Arial" w:hAnsi="Arial" w:cs="Arial"/>
              </w:rPr>
              <w:t>.</w:t>
            </w:r>
          </w:p>
        </w:tc>
      </w:tr>
      <w:tr w:rsidR="00EA59C2" w:rsidRPr="00166622" w14:paraId="0D44065A" w14:textId="77777777" w:rsidTr="00453A1F">
        <w:trPr>
          <w:trHeight w:val="288"/>
        </w:trPr>
        <w:tc>
          <w:tcPr>
            <w:tcW w:w="3600" w:type="dxa"/>
          </w:tcPr>
          <w:p w14:paraId="5ECA9BE1" w14:textId="77777777" w:rsidR="00EA59C2" w:rsidRPr="00E5209B" w:rsidRDefault="00EA59C2" w:rsidP="00A86F20">
            <w:pPr>
              <w:pStyle w:val="Table-Head-Left"/>
              <w:spacing w:before="120" w:after="120"/>
              <w:rPr>
                <w:rFonts w:ascii="Arial" w:hAnsi="Arial" w:cs="Arial"/>
              </w:rPr>
            </w:pPr>
            <w:r w:rsidRPr="00E5209B">
              <w:rPr>
                <w:rFonts w:ascii="Arial" w:hAnsi="Arial" w:cs="Arial"/>
              </w:rPr>
              <w:t>Cost</w:t>
            </w:r>
          </w:p>
        </w:tc>
        <w:tc>
          <w:tcPr>
            <w:tcW w:w="5760" w:type="dxa"/>
          </w:tcPr>
          <w:p w14:paraId="1DCAEF1E" w14:textId="77777777" w:rsidR="0005676A" w:rsidRPr="00E5209B" w:rsidRDefault="00EA59C2" w:rsidP="00A86F20">
            <w:pPr>
              <w:pStyle w:val="Table-Cell-Left"/>
              <w:spacing w:before="120" w:after="120"/>
              <w:rPr>
                <w:rFonts w:ascii="Arial" w:hAnsi="Arial" w:cs="Arial"/>
              </w:rPr>
            </w:pPr>
            <w:r w:rsidRPr="00E5209B">
              <w:rPr>
                <w:rFonts w:ascii="Arial" w:hAnsi="Arial" w:cs="Arial"/>
              </w:rPr>
              <w:t>The monetary value of resources used or sacrificed or liabilities incurred to achieve an objective, such as to acquire or produce a good or to p</w:t>
            </w:r>
            <w:r w:rsidR="0005676A" w:rsidRPr="00E5209B">
              <w:rPr>
                <w:rFonts w:ascii="Arial" w:hAnsi="Arial" w:cs="Arial"/>
              </w:rPr>
              <w:t>erform an activity or service.</w:t>
            </w:r>
          </w:p>
        </w:tc>
      </w:tr>
      <w:tr w:rsidR="00826052" w:rsidRPr="00166622" w14:paraId="55B4691C" w14:textId="77777777" w:rsidTr="00453A1F">
        <w:trPr>
          <w:trHeight w:val="288"/>
        </w:trPr>
        <w:tc>
          <w:tcPr>
            <w:tcW w:w="3600" w:type="dxa"/>
          </w:tcPr>
          <w:p w14:paraId="05B463DF" w14:textId="77777777" w:rsidR="00826052" w:rsidRDefault="00826052" w:rsidP="00A86F20">
            <w:pPr>
              <w:pStyle w:val="Table-Head-Left"/>
              <w:spacing w:before="120" w:after="120"/>
              <w:rPr>
                <w:rFonts w:ascii="Arial" w:hAnsi="Arial" w:cs="Arial"/>
              </w:rPr>
            </w:pPr>
            <w:r>
              <w:rPr>
                <w:rFonts w:ascii="Arial" w:hAnsi="Arial" w:cs="Arial"/>
              </w:rPr>
              <w:lastRenderedPageBreak/>
              <w:t>Cycle</w:t>
            </w:r>
          </w:p>
        </w:tc>
        <w:tc>
          <w:tcPr>
            <w:tcW w:w="5760" w:type="dxa"/>
          </w:tcPr>
          <w:p w14:paraId="746805D3" w14:textId="77777777" w:rsidR="00826052" w:rsidRDefault="00826052" w:rsidP="00A86F20">
            <w:pPr>
              <w:pStyle w:val="Table-Cell-Left"/>
              <w:spacing w:before="120" w:after="120"/>
              <w:rPr>
                <w:rFonts w:ascii="Arial" w:hAnsi="Arial" w:cs="Arial"/>
              </w:rPr>
            </w:pPr>
            <w:r>
              <w:rPr>
                <w:rFonts w:ascii="Arial" w:hAnsi="Arial" w:cs="Arial"/>
              </w:rPr>
              <w:t>A grouping of related accounting applications.</w:t>
            </w:r>
          </w:p>
        </w:tc>
      </w:tr>
      <w:tr w:rsidR="00B6555D" w:rsidRPr="00166622" w14:paraId="3509BA85" w14:textId="77777777" w:rsidTr="00453A1F">
        <w:trPr>
          <w:trHeight w:val="288"/>
        </w:trPr>
        <w:tc>
          <w:tcPr>
            <w:tcW w:w="3600" w:type="dxa"/>
          </w:tcPr>
          <w:p w14:paraId="053141F3" w14:textId="77777777" w:rsidR="00B6555D" w:rsidRDefault="00B6555D" w:rsidP="00A86F20">
            <w:pPr>
              <w:pStyle w:val="Table-Head-Left"/>
              <w:spacing w:before="120" w:after="120"/>
              <w:rPr>
                <w:rFonts w:ascii="Arial" w:hAnsi="Arial" w:cs="Arial"/>
              </w:rPr>
            </w:pPr>
            <w:r>
              <w:rPr>
                <w:rFonts w:ascii="Arial" w:hAnsi="Arial" w:cs="Arial"/>
              </w:rPr>
              <w:t>Cycle matrix</w:t>
            </w:r>
          </w:p>
        </w:tc>
        <w:tc>
          <w:tcPr>
            <w:tcW w:w="5760" w:type="dxa"/>
          </w:tcPr>
          <w:p w14:paraId="4DBBB489" w14:textId="77777777" w:rsidR="00B6555D" w:rsidRPr="00E5209B" w:rsidRDefault="00B6555D" w:rsidP="00A86F20">
            <w:pPr>
              <w:pStyle w:val="Table-Cell-Left"/>
              <w:spacing w:before="120" w:after="120"/>
              <w:rPr>
                <w:rFonts w:ascii="Arial" w:hAnsi="Arial" w:cs="Arial"/>
              </w:rPr>
            </w:pPr>
            <w:r>
              <w:rPr>
                <w:rFonts w:ascii="Arial" w:hAnsi="Arial" w:cs="Arial"/>
              </w:rPr>
              <w:t xml:space="preserve">A workpaper </w:t>
            </w:r>
            <w:r w:rsidRPr="00B6555D">
              <w:rPr>
                <w:rFonts w:ascii="Arial" w:hAnsi="Arial" w:cs="Arial"/>
              </w:rPr>
              <w:t>that links each of the entity’s accounts (in the chart of accounts) to a cycle, an accounting application, and a financial statement line item.</w:t>
            </w:r>
          </w:p>
        </w:tc>
      </w:tr>
      <w:tr w:rsidR="00E5209B" w:rsidRPr="00166622" w14:paraId="1CA88E96" w14:textId="77777777" w:rsidTr="00453A1F">
        <w:trPr>
          <w:trHeight w:val="288"/>
        </w:trPr>
        <w:tc>
          <w:tcPr>
            <w:tcW w:w="3600" w:type="dxa"/>
          </w:tcPr>
          <w:p w14:paraId="5145567C" w14:textId="77777777" w:rsidR="00E5209B" w:rsidRPr="00E5209B" w:rsidRDefault="00E5209B" w:rsidP="00A86F20">
            <w:pPr>
              <w:pStyle w:val="Table-Head-Left"/>
              <w:spacing w:before="120" w:after="120"/>
              <w:rPr>
                <w:rFonts w:ascii="Arial" w:hAnsi="Arial" w:cs="Arial"/>
              </w:rPr>
            </w:pPr>
            <w:r w:rsidRPr="00E5209B">
              <w:rPr>
                <w:rFonts w:ascii="Arial" w:hAnsi="Arial" w:cs="Arial"/>
              </w:rPr>
              <w:t>Degree of compliance</w:t>
            </w:r>
          </w:p>
        </w:tc>
        <w:tc>
          <w:tcPr>
            <w:tcW w:w="5760" w:type="dxa"/>
          </w:tcPr>
          <w:p w14:paraId="6C13A88A" w14:textId="77777777" w:rsidR="00E5209B" w:rsidRPr="00166622" w:rsidRDefault="00E5209B" w:rsidP="00A86F20">
            <w:pPr>
              <w:pStyle w:val="Table-Cell-Left"/>
              <w:spacing w:before="120" w:after="120"/>
              <w:rPr>
                <w:rFonts w:ascii="Arial" w:hAnsi="Arial" w:cs="Arial"/>
              </w:rPr>
            </w:pPr>
            <w:r w:rsidRPr="00166622">
              <w:rPr>
                <w:rFonts w:ascii="Arial" w:hAnsi="Arial" w:cs="Arial"/>
              </w:rPr>
              <w:t>The following terms are used throughout the FAM to describe the degree of compliance with the standard or policy:</w:t>
            </w:r>
          </w:p>
          <w:p w14:paraId="493599A3" w14:textId="77777777" w:rsidR="00E5209B" w:rsidRPr="00166622" w:rsidRDefault="00E5209B" w:rsidP="00A86F20">
            <w:pPr>
              <w:pStyle w:val="Table-Cell-Left"/>
              <w:spacing w:before="120" w:after="120"/>
              <w:rPr>
                <w:rFonts w:ascii="Arial" w:hAnsi="Arial" w:cs="Arial"/>
              </w:rPr>
            </w:pPr>
            <w:r w:rsidRPr="00166622">
              <w:rPr>
                <w:rFonts w:ascii="Arial" w:hAnsi="Arial" w:cs="Arial"/>
              </w:rPr>
              <w:t>•</w:t>
            </w:r>
            <w:r w:rsidRPr="00166622">
              <w:rPr>
                <w:rFonts w:ascii="Arial" w:hAnsi="Arial" w:cs="Arial"/>
                <w:b/>
              </w:rPr>
              <w:t>Must</w:t>
            </w:r>
            <w:r w:rsidRPr="00166622">
              <w:rPr>
                <w:rFonts w:ascii="Arial" w:hAnsi="Arial" w:cs="Arial"/>
              </w:rPr>
              <w:t xml:space="preserve">: Compliance is mandatory when the circumstances exist to which the requirement is relevant. Most “musts” indicate unconditional requirements that come directly from professional auditing standards while other instances of “must” are unique needs for the government environment and, therefore, determined by GAO/CIGIE to be required. </w:t>
            </w:r>
          </w:p>
          <w:p w14:paraId="2853E473" w14:textId="77777777" w:rsidR="00E5209B" w:rsidRPr="00166622" w:rsidRDefault="00E5209B" w:rsidP="00A86F20">
            <w:pPr>
              <w:pStyle w:val="Table-Cell-Left"/>
              <w:spacing w:before="120" w:after="120"/>
              <w:rPr>
                <w:rFonts w:ascii="Arial" w:hAnsi="Arial" w:cs="Arial"/>
              </w:rPr>
            </w:pPr>
            <w:r w:rsidRPr="00166622">
              <w:rPr>
                <w:rFonts w:ascii="Arial" w:hAnsi="Arial" w:cs="Arial"/>
              </w:rPr>
              <w:t>•</w:t>
            </w:r>
            <w:r w:rsidRPr="00166622">
              <w:rPr>
                <w:rFonts w:ascii="Arial" w:hAnsi="Arial" w:cs="Arial"/>
                <w:b/>
              </w:rPr>
              <w:t>Should</w:t>
            </w:r>
            <w:r w:rsidRPr="00166622">
              <w:rPr>
                <w:rFonts w:ascii="Arial" w:hAnsi="Arial" w:cs="Arial"/>
              </w:rPr>
              <w:t xml:space="preserve">: Compliance is mandatory when the circumstances exist to which the requirement is relevant, except in rare circumstances when the specific procedure to be performed would be ineffective in achieving the intent of the requirement. The auditor must document (1) the justification for any departure and (2) how the alternative audit procedures performed were sufficient to achieve the intent of the requirement or policy. The documentation should be approved by the reviewer.  </w:t>
            </w:r>
          </w:p>
          <w:p w14:paraId="356FC846" w14:textId="77777777" w:rsidR="00E5209B" w:rsidRPr="00166622" w:rsidRDefault="00E5209B" w:rsidP="00A86F20">
            <w:pPr>
              <w:pStyle w:val="Table-Cell-Left"/>
              <w:spacing w:before="120" w:after="120"/>
              <w:rPr>
                <w:rFonts w:ascii="Arial" w:hAnsi="Arial" w:cs="Arial"/>
              </w:rPr>
            </w:pPr>
            <w:r w:rsidRPr="00166622">
              <w:rPr>
                <w:rFonts w:ascii="Arial" w:hAnsi="Arial" w:cs="Arial"/>
              </w:rPr>
              <w:t>•</w:t>
            </w:r>
            <w:r w:rsidRPr="00166622">
              <w:rPr>
                <w:rFonts w:ascii="Arial" w:hAnsi="Arial" w:cs="Arial"/>
                <w:b/>
              </w:rPr>
              <w:t>Generally should</w:t>
            </w:r>
            <w:r w:rsidRPr="00166622">
              <w:rPr>
                <w:rFonts w:ascii="Arial" w:hAnsi="Arial" w:cs="Arial"/>
              </w:rPr>
              <w:t>: Compliance is strongly encouraged when the circumstances exist to which this policy is relevant. The auditor should discuss any departure with the assistant director (or equivalent, such as the audit manager in a public accounting firm) and document such discussions.</w:t>
            </w:r>
          </w:p>
          <w:p w14:paraId="1C62FD9F" w14:textId="77777777" w:rsidR="00E5209B" w:rsidRPr="00166622" w:rsidRDefault="00E5209B" w:rsidP="00A86F20">
            <w:pPr>
              <w:pStyle w:val="Table-Cell-Left"/>
              <w:spacing w:before="120" w:after="120"/>
              <w:rPr>
                <w:rFonts w:ascii="Arial" w:hAnsi="Arial" w:cs="Arial"/>
                <w:highlight w:val="yellow"/>
              </w:rPr>
            </w:pPr>
            <w:r w:rsidRPr="00166622">
              <w:rPr>
                <w:rFonts w:ascii="Arial" w:hAnsi="Arial" w:cs="Arial"/>
              </w:rPr>
              <w:t>•</w:t>
            </w:r>
            <w:r w:rsidRPr="00166622">
              <w:rPr>
                <w:rFonts w:ascii="Arial" w:hAnsi="Arial" w:cs="Arial"/>
                <w:b/>
              </w:rPr>
              <w:t>May, might, could</w:t>
            </w:r>
            <w:r w:rsidRPr="00166622">
              <w:rPr>
                <w:rFonts w:ascii="Arial" w:hAnsi="Arial" w:cs="Arial"/>
              </w:rPr>
              <w:t>: These terms are used in the FAM to provide further explanation of and guidance for implementing audit requirements. Compliance is optional. The auditor need not document compliance.</w:t>
            </w:r>
          </w:p>
        </w:tc>
      </w:tr>
      <w:tr w:rsidR="00E5209B" w:rsidRPr="00166622" w14:paraId="1328F6EA" w14:textId="77777777" w:rsidTr="00453A1F">
        <w:trPr>
          <w:trHeight w:val="288"/>
        </w:trPr>
        <w:tc>
          <w:tcPr>
            <w:tcW w:w="3600" w:type="dxa"/>
          </w:tcPr>
          <w:p w14:paraId="0972D175" w14:textId="77777777" w:rsidR="00E5209B" w:rsidRPr="00B72EF2" w:rsidRDefault="00E5209B" w:rsidP="001A44B5">
            <w:pPr>
              <w:pStyle w:val="Table-Head-Left"/>
              <w:spacing w:before="120" w:after="120"/>
              <w:rPr>
                <w:rFonts w:ascii="Arial" w:hAnsi="Arial" w:cs="Arial"/>
              </w:rPr>
            </w:pPr>
            <w:r w:rsidRPr="00B72EF2">
              <w:rPr>
                <w:rFonts w:ascii="Arial" w:hAnsi="Arial" w:cs="Arial"/>
              </w:rPr>
              <w:t>Detection risk</w:t>
            </w:r>
          </w:p>
        </w:tc>
        <w:tc>
          <w:tcPr>
            <w:tcW w:w="5760" w:type="dxa"/>
          </w:tcPr>
          <w:p w14:paraId="14DA3B7D" w14:textId="77777777" w:rsidR="00E5209B" w:rsidRPr="00B72EF2" w:rsidRDefault="00E5209B" w:rsidP="001A44B5">
            <w:pPr>
              <w:pStyle w:val="Table-Cell-Left"/>
              <w:spacing w:before="120" w:after="120"/>
              <w:rPr>
                <w:rFonts w:ascii="Arial" w:hAnsi="Arial" w:cs="Arial"/>
              </w:rPr>
            </w:pPr>
            <w:r w:rsidRPr="00B72EF2">
              <w:rPr>
                <w:rFonts w:ascii="Arial" w:hAnsi="Arial" w:cs="Arial"/>
              </w:rPr>
              <w:t>The risk that the procedures performed by the auditor to reduce audit risk to an acceptably low level will not detect a misstatement that exists and that could be material, either individually or when aggregated with other misstatements.</w:t>
            </w:r>
            <w:r w:rsidR="001A44B5">
              <w:rPr>
                <w:rFonts w:ascii="Arial" w:hAnsi="Arial" w:cs="Arial"/>
              </w:rPr>
              <w:t xml:space="preserve"> It</w:t>
            </w:r>
            <w:r w:rsidR="001A44B5" w:rsidRPr="001A44B5">
              <w:rPr>
                <w:rFonts w:ascii="Arial" w:hAnsi="Arial" w:cs="Arial"/>
              </w:rPr>
              <w:t xml:space="preserve"> is a </w:t>
            </w:r>
            <w:r w:rsidR="001A44B5" w:rsidRPr="001A44B5">
              <w:rPr>
                <w:rFonts w:ascii="Arial" w:hAnsi="Arial" w:cs="Arial"/>
              </w:rPr>
              <w:lastRenderedPageBreak/>
              <w:t>function of the effectiveness of an audit procedure and of its application by the auditor.</w:t>
            </w:r>
          </w:p>
        </w:tc>
      </w:tr>
      <w:tr w:rsidR="005F6F8E" w:rsidRPr="00166622" w14:paraId="76FC8CC1" w14:textId="77777777" w:rsidTr="00453A1F">
        <w:trPr>
          <w:trHeight w:val="288"/>
        </w:trPr>
        <w:tc>
          <w:tcPr>
            <w:tcW w:w="3600" w:type="dxa"/>
            <w:shd w:val="clear" w:color="auto" w:fill="auto"/>
          </w:tcPr>
          <w:p w14:paraId="259533F2" w14:textId="77777777" w:rsidR="005F6F8E" w:rsidRPr="0088326A" w:rsidRDefault="005F6F8E" w:rsidP="005F6F8E">
            <w:pPr>
              <w:pStyle w:val="Table-Head-Left"/>
              <w:spacing w:before="120" w:after="120"/>
              <w:rPr>
                <w:rFonts w:ascii="Arial" w:hAnsi="Arial" w:cs="Arial"/>
              </w:rPr>
            </w:pPr>
            <w:r>
              <w:rPr>
                <w:rFonts w:ascii="Arial" w:hAnsi="Arial" w:cs="Arial"/>
              </w:rPr>
              <w:lastRenderedPageBreak/>
              <w:t>Disclosure entities</w:t>
            </w:r>
          </w:p>
        </w:tc>
        <w:tc>
          <w:tcPr>
            <w:tcW w:w="5760" w:type="dxa"/>
          </w:tcPr>
          <w:p w14:paraId="67F68295" w14:textId="0E22CA53" w:rsidR="005F6F8E" w:rsidRPr="00B72EF2" w:rsidRDefault="00D72A1A" w:rsidP="001F6648">
            <w:pPr>
              <w:pStyle w:val="Table-Cell-Left"/>
              <w:spacing w:before="120" w:after="120"/>
              <w:rPr>
                <w:rFonts w:ascii="Arial" w:hAnsi="Arial" w:cs="Arial"/>
              </w:rPr>
            </w:pPr>
            <w:r>
              <w:rPr>
                <w:rFonts w:ascii="Arial" w:hAnsi="Arial" w:cs="Arial"/>
              </w:rPr>
              <w:t>O</w:t>
            </w:r>
            <w:r w:rsidR="001F6648" w:rsidRPr="001F6648">
              <w:rPr>
                <w:rFonts w:ascii="Arial" w:hAnsi="Arial" w:cs="Arial"/>
              </w:rPr>
              <w:t>rganizations similar to consolidation entities in that they are either (a) in the budget, (b) major</w:t>
            </w:r>
            <w:r w:rsidR="001F6648">
              <w:rPr>
                <w:rFonts w:ascii="Arial" w:hAnsi="Arial" w:cs="Arial"/>
              </w:rPr>
              <w:t xml:space="preserve">ity </w:t>
            </w:r>
            <w:r w:rsidR="001F6648" w:rsidRPr="001F6648">
              <w:rPr>
                <w:rFonts w:ascii="Arial" w:hAnsi="Arial" w:cs="Arial"/>
              </w:rPr>
              <w:t>owned by the government, (c) controlled by the government, or (d) would be misleading to ex</w:t>
            </w:r>
            <w:r w:rsidR="001F6648">
              <w:rPr>
                <w:rFonts w:ascii="Arial" w:hAnsi="Arial" w:cs="Arial"/>
              </w:rPr>
              <w:t xml:space="preserve">clude. Disclosure entities have </w:t>
            </w:r>
            <w:r w:rsidR="001F6648" w:rsidRPr="001F6648">
              <w:rPr>
                <w:rFonts w:ascii="Arial" w:hAnsi="Arial" w:cs="Arial"/>
              </w:rPr>
              <w:t>a greater degree of autonomy with the government than consolidation entities.</w:t>
            </w:r>
          </w:p>
        </w:tc>
      </w:tr>
      <w:tr w:rsidR="00545B88" w:rsidRPr="00166622" w14:paraId="7F1DB6DF" w14:textId="77777777" w:rsidTr="00453A1F">
        <w:trPr>
          <w:trHeight w:val="288"/>
        </w:trPr>
        <w:tc>
          <w:tcPr>
            <w:tcW w:w="3600" w:type="dxa"/>
            <w:shd w:val="clear" w:color="auto" w:fill="auto"/>
          </w:tcPr>
          <w:p w14:paraId="51B0C744" w14:textId="77777777" w:rsidR="00545B88" w:rsidRPr="0088326A" w:rsidRDefault="00C23C55" w:rsidP="001A44B5">
            <w:pPr>
              <w:pStyle w:val="Table-Head-Left"/>
              <w:spacing w:before="120" w:after="120"/>
              <w:rPr>
                <w:rFonts w:ascii="Arial" w:hAnsi="Arial" w:cs="Arial"/>
              </w:rPr>
            </w:pPr>
            <w:r w:rsidRPr="0088326A">
              <w:rPr>
                <w:rFonts w:ascii="Arial" w:hAnsi="Arial" w:cs="Arial"/>
              </w:rPr>
              <w:t>Direct assistance</w:t>
            </w:r>
          </w:p>
        </w:tc>
        <w:tc>
          <w:tcPr>
            <w:tcW w:w="5760" w:type="dxa"/>
          </w:tcPr>
          <w:p w14:paraId="05D95EFD" w14:textId="77777777" w:rsidR="00545B88" w:rsidRPr="00B72EF2" w:rsidRDefault="00C23C55" w:rsidP="001A44B5">
            <w:pPr>
              <w:pStyle w:val="Table-Cell-Left"/>
              <w:spacing w:before="120" w:after="120"/>
              <w:rPr>
                <w:rFonts w:ascii="Arial" w:hAnsi="Arial" w:cs="Arial"/>
              </w:rPr>
            </w:pPr>
            <w:r w:rsidRPr="00B72EF2">
              <w:rPr>
                <w:rFonts w:ascii="Arial" w:hAnsi="Arial" w:cs="Arial"/>
              </w:rPr>
              <w:t>The use of internal auditors to perform audit procedures under the direction, supervision, and review of the auditor.</w:t>
            </w:r>
          </w:p>
        </w:tc>
      </w:tr>
      <w:tr w:rsidR="009242F6" w:rsidRPr="00166622" w14:paraId="2047367D" w14:textId="77777777" w:rsidTr="00453A1F">
        <w:trPr>
          <w:trHeight w:val="288"/>
        </w:trPr>
        <w:tc>
          <w:tcPr>
            <w:tcW w:w="3600" w:type="dxa"/>
          </w:tcPr>
          <w:p w14:paraId="31FD743C" w14:textId="77777777" w:rsidR="001A44B5" w:rsidRDefault="0017207B" w:rsidP="001A44B5">
            <w:pPr>
              <w:pStyle w:val="Table-Head-Left"/>
              <w:spacing w:before="120"/>
              <w:rPr>
                <w:rFonts w:ascii="Arial" w:hAnsi="Arial" w:cs="Arial"/>
              </w:rPr>
            </w:pPr>
            <w:r w:rsidRPr="00B72EF2">
              <w:rPr>
                <w:rFonts w:ascii="Arial" w:hAnsi="Arial" w:cs="Arial"/>
              </w:rPr>
              <w:t xml:space="preserve">Emphasis-of-matter </w:t>
            </w:r>
          </w:p>
          <w:p w14:paraId="6360F8F0" w14:textId="77777777" w:rsidR="0017207B" w:rsidRPr="00B72EF2" w:rsidRDefault="007E4045" w:rsidP="007E4045">
            <w:pPr>
              <w:pStyle w:val="Table-Head-Left"/>
              <w:spacing w:after="120"/>
              <w:rPr>
                <w:rFonts w:ascii="Arial" w:hAnsi="Arial" w:cs="Arial"/>
              </w:rPr>
            </w:pPr>
            <w:r>
              <w:rPr>
                <w:rFonts w:ascii="Arial" w:hAnsi="Arial" w:cs="Arial"/>
              </w:rPr>
              <w:t>paragraph</w:t>
            </w:r>
          </w:p>
          <w:p w14:paraId="1A3AF28C" w14:textId="77777777" w:rsidR="009242F6" w:rsidRPr="00B72EF2" w:rsidRDefault="009242F6" w:rsidP="001A44B5">
            <w:pPr>
              <w:pStyle w:val="Table-Head-Left"/>
              <w:spacing w:before="120" w:after="120"/>
              <w:rPr>
                <w:rFonts w:ascii="Arial" w:hAnsi="Arial" w:cs="Arial"/>
              </w:rPr>
            </w:pPr>
          </w:p>
        </w:tc>
        <w:tc>
          <w:tcPr>
            <w:tcW w:w="5760" w:type="dxa"/>
          </w:tcPr>
          <w:p w14:paraId="627792CA" w14:textId="77777777" w:rsidR="009242F6" w:rsidRPr="00B72EF2" w:rsidRDefault="0017207B" w:rsidP="001A44B5">
            <w:pPr>
              <w:pStyle w:val="Table-Cell-Left"/>
              <w:spacing w:before="120" w:after="120"/>
              <w:rPr>
                <w:rFonts w:ascii="Arial" w:hAnsi="Arial" w:cs="Arial"/>
              </w:rPr>
            </w:pPr>
            <w:r w:rsidRPr="00B72EF2">
              <w:rPr>
                <w:rFonts w:ascii="Arial" w:hAnsi="Arial" w:cs="Arial"/>
              </w:rPr>
              <w:t>A paragraph included in the auditor's report that is required by GAAS, or is included at the auditor's discretion, and that refers to a matter appropriately presented or disclosed in the financial statements that, in the auditor's professional judgment, is of such importance that it is fundamental to users' understanding of the financial statements.</w:t>
            </w:r>
          </w:p>
        </w:tc>
      </w:tr>
      <w:tr w:rsidR="00B72EF2" w:rsidRPr="00166622" w14:paraId="7D84059A" w14:textId="77777777" w:rsidTr="00453A1F">
        <w:trPr>
          <w:trHeight w:val="288"/>
        </w:trPr>
        <w:tc>
          <w:tcPr>
            <w:tcW w:w="3600" w:type="dxa"/>
          </w:tcPr>
          <w:p w14:paraId="67020A7C" w14:textId="77777777" w:rsidR="00B72EF2" w:rsidRPr="00B72EF2" w:rsidRDefault="00B72EF2" w:rsidP="006F0791">
            <w:pPr>
              <w:pStyle w:val="Table-Head-Left"/>
              <w:rPr>
                <w:rFonts w:ascii="Arial" w:hAnsi="Arial" w:cs="Arial"/>
              </w:rPr>
            </w:pPr>
            <w:r w:rsidRPr="00B72EF2">
              <w:rPr>
                <w:rFonts w:ascii="Arial" w:hAnsi="Arial" w:cs="Arial"/>
              </w:rPr>
              <w:t>Engagement letter</w:t>
            </w:r>
          </w:p>
        </w:tc>
        <w:tc>
          <w:tcPr>
            <w:tcW w:w="5760" w:type="dxa"/>
          </w:tcPr>
          <w:p w14:paraId="54593646" w14:textId="77777777" w:rsidR="00B72EF2" w:rsidRPr="00B72EF2" w:rsidRDefault="00B72EF2" w:rsidP="00B72EF2">
            <w:pPr>
              <w:pStyle w:val="Table-Cell-Left"/>
              <w:rPr>
                <w:rFonts w:ascii="Arial" w:hAnsi="Arial" w:cs="Arial"/>
              </w:rPr>
            </w:pPr>
            <w:r w:rsidRPr="00B72EF2">
              <w:rPr>
                <w:rFonts w:ascii="Arial" w:hAnsi="Arial" w:cs="Arial"/>
              </w:rPr>
              <w:t>A written agreement that documents the objectives and scope, roles and responsibilities of both federal entity management and the auditor, and other matters of the engagement.</w:t>
            </w:r>
          </w:p>
        </w:tc>
      </w:tr>
      <w:tr w:rsidR="008D5F47" w:rsidRPr="00166622" w14:paraId="143A3A27" w14:textId="77777777" w:rsidTr="00453A1F">
        <w:trPr>
          <w:trHeight w:val="288"/>
        </w:trPr>
        <w:tc>
          <w:tcPr>
            <w:tcW w:w="3600" w:type="dxa"/>
          </w:tcPr>
          <w:p w14:paraId="4CD7CD8B" w14:textId="77777777" w:rsidR="008D5F47" w:rsidRPr="00B72EF2" w:rsidRDefault="008D5F47" w:rsidP="008D182D">
            <w:pPr>
              <w:pStyle w:val="Table-Head-Left"/>
              <w:spacing w:before="120" w:after="120"/>
              <w:rPr>
                <w:rFonts w:ascii="Arial" w:hAnsi="Arial" w:cs="Arial"/>
              </w:rPr>
            </w:pPr>
            <w:r>
              <w:rPr>
                <w:rFonts w:ascii="Arial" w:hAnsi="Arial" w:cs="Arial"/>
              </w:rPr>
              <w:t>Entity-level control</w:t>
            </w:r>
            <w:r w:rsidR="00997056">
              <w:rPr>
                <w:rFonts w:ascii="Arial" w:hAnsi="Arial" w:cs="Arial"/>
              </w:rPr>
              <w:t>s</w:t>
            </w:r>
          </w:p>
        </w:tc>
        <w:tc>
          <w:tcPr>
            <w:tcW w:w="5760" w:type="dxa"/>
          </w:tcPr>
          <w:p w14:paraId="0DF53D38" w14:textId="006E85F8" w:rsidR="008D5F47" w:rsidRPr="008D5F47" w:rsidRDefault="008D5F47" w:rsidP="00D72A1A">
            <w:pPr>
              <w:pStyle w:val="Table-Cell-Left"/>
              <w:spacing w:before="120" w:after="120"/>
              <w:rPr>
                <w:rFonts w:ascii="Arial" w:hAnsi="Arial" w:cs="Arial"/>
              </w:rPr>
            </w:pPr>
            <w:r w:rsidRPr="008D5F47">
              <w:rPr>
                <w:rFonts w:ascii="Arial" w:hAnsi="Arial" w:cs="Arial"/>
              </w:rPr>
              <w:t>Controls that have a pervasive effect on an entity’s internal control system</w:t>
            </w:r>
            <w:r w:rsidR="00D72A1A">
              <w:rPr>
                <w:rFonts w:ascii="Arial" w:hAnsi="Arial" w:cs="Arial"/>
              </w:rPr>
              <w:t>.</w:t>
            </w:r>
            <w:r w:rsidRPr="008D5F47">
              <w:rPr>
                <w:rFonts w:ascii="Arial" w:hAnsi="Arial" w:cs="Arial"/>
              </w:rPr>
              <w:t xml:space="preserve"> </w:t>
            </w:r>
            <w:r w:rsidR="00D72A1A">
              <w:rPr>
                <w:rFonts w:ascii="Arial" w:hAnsi="Arial" w:cs="Arial"/>
              </w:rPr>
              <w:t>E</w:t>
            </w:r>
            <w:r w:rsidRPr="008D5F47">
              <w:rPr>
                <w:rFonts w:ascii="Arial" w:hAnsi="Arial" w:cs="Arial"/>
              </w:rPr>
              <w:t>ntity-level controls may include controls related to the entity’s risk assessment process, control environment, service organizations, management override, and monitoring.</w:t>
            </w:r>
          </w:p>
        </w:tc>
      </w:tr>
      <w:tr w:rsidR="00606484" w:rsidRPr="00166622" w14:paraId="5D82ADA7" w14:textId="77777777" w:rsidTr="00453A1F">
        <w:trPr>
          <w:trHeight w:val="288"/>
        </w:trPr>
        <w:tc>
          <w:tcPr>
            <w:tcW w:w="3600" w:type="dxa"/>
          </w:tcPr>
          <w:p w14:paraId="18D5B579" w14:textId="77777777" w:rsidR="00606484" w:rsidRPr="00B72EF2" w:rsidRDefault="00606484" w:rsidP="008D182D">
            <w:pPr>
              <w:pStyle w:val="Table-Head-Left"/>
              <w:spacing w:before="120" w:after="120"/>
              <w:rPr>
                <w:rFonts w:ascii="Arial" w:hAnsi="Arial" w:cs="Arial"/>
              </w:rPr>
            </w:pPr>
            <w:r w:rsidRPr="00B72EF2">
              <w:rPr>
                <w:rFonts w:ascii="Arial" w:hAnsi="Arial" w:cs="Arial"/>
              </w:rPr>
              <w:t>Entity management</w:t>
            </w:r>
          </w:p>
        </w:tc>
        <w:tc>
          <w:tcPr>
            <w:tcW w:w="5760" w:type="dxa"/>
          </w:tcPr>
          <w:p w14:paraId="599FAB7D" w14:textId="77777777" w:rsidR="00606484" w:rsidRPr="00B72EF2" w:rsidRDefault="00606484" w:rsidP="008D182D">
            <w:pPr>
              <w:pStyle w:val="Table-Cell-Left"/>
              <w:spacing w:before="120" w:after="120"/>
              <w:rPr>
                <w:rFonts w:ascii="Arial" w:hAnsi="Arial" w:cs="Arial"/>
              </w:rPr>
            </w:pPr>
            <w:r w:rsidRPr="00B72EF2">
              <w:rPr>
                <w:rFonts w:ascii="Arial" w:hAnsi="Arial" w:cs="Arial"/>
              </w:rPr>
              <w:t>The persons with executive responsibility for the conduct of the entity’s operations.</w:t>
            </w:r>
          </w:p>
        </w:tc>
      </w:tr>
      <w:tr w:rsidR="00E51818" w:rsidRPr="00166622" w14:paraId="35112F15" w14:textId="77777777" w:rsidTr="00453A1F">
        <w:trPr>
          <w:trHeight w:val="288"/>
        </w:trPr>
        <w:tc>
          <w:tcPr>
            <w:tcW w:w="3600" w:type="dxa"/>
          </w:tcPr>
          <w:p w14:paraId="794CD84D" w14:textId="77777777" w:rsidR="00E51818" w:rsidRPr="008D182D" w:rsidRDefault="00E51818" w:rsidP="008D182D">
            <w:pPr>
              <w:pStyle w:val="Table-Head-Left"/>
              <w:spacing w:before="120" w:after="120"/>
              <w:rPr>
                <w:rFonts w:ascii="Arial" w:hAnsi="Arial" w:cs="Arial"/>
              </w:rPr>
            </w:pPr>
            <w:r>
              <w:rPr>
                <w:rFonts w:ascii="Arial" w:hAnsi="Arial" w:cs="Arial"/>
              </w:rPr>
              <w:t>Entity profile</w:t>
            </w:r>
          </w:p>
        </w:tc>
        <w:tc>
          <w:tcPr>
            <w:tcW w:w="5760" w:type="dxa"/>
          </w:tcPr>
          <w:p w14:paraId="1412ECC0" w14:textId="77777777" w:rsidR="00E51818" w:rsidRPr="008D182D" w:rsidRDefault="00E51818" w:rsidP="00E51818">
            <w:pPr>
              <w:pStyle w:val="Table-Cell-Left"/>
              <w:spacing w:before="120" w:after="120"/>
              <w:rPr>
                <w:rFonts w:ascii="Arial" w:hAnsi="Arial" w:cs="Arial"/>
              </w:rPr>
            </w:pPr>
            <w:r>
              <w:rPr>
                <w:rFonts w:ascii="Arial" w:hAnsi="Arial" w:cs="Arial"/>
              </w:rPr>
              <w:t xml:space="preserve">A workpaper used by the auditor to </w:t>
            </w:r>
            <w:r w:rsidRPr="00E51818">
              <w:rPr>
                <w:rFonts w:ascii="Arial" w:hAnsi="Arial" w:cs="Arial"/>
              </w:rPr>
              <w:t>document the information useful for understanding the entity and its operations</w:t>
            </w:r>
            <w:r>
              <w:rPr>
                <w:rFonts w:ascii="Arial" w:hAnsi="Arial" w:cs="Arial"/>
              </w:rPr>
              <w:t>.</w:t>
            </w:r>
            <w:r w:rsidRPr="00E51818">
              <w:rPr>
                <w:rFonts w:ascii="Arial" w:hAnsi="Arial" w:cs="Arial"/>
              </w:rPr>
              <w:t xml:space="preserve"> In this profile the auditor generally should briefly document such elements as the entity’s origin, history, mission, size, locations, organization, and key members of management; the legal and regulatory framework; the applicable financial reporting framework and external and internal factors affecting operations; use of information systems; and accounting policies.</w:t>
            </w:r>
          </w:p>
        </w:tc>
      </w:tr>
      <w:tr w:rsidR="001E3A8F" w:rsidRPr="00166622" w14:paraId="5974E52E" w14:textId="77777777" w:rsidTr="00453A1F">
        <w:trPr>
          <w:trHeight w:val="288"/>
        </w:trPr>
        <w:tc>
          <w:tcPr>
            <w:tcW w:w="3600" w:type="dxa"/>
          </w:tcPr>
          <w:p w14:paraId="6F480E58" w14:textId="77777777" w:rsidR="001E3A8F" w:rsidRPr="008D182D" w:rsidRDefault="001E3A8F" w:rsidP="008D182D">
            <w:pPr>
              <w:pStyle w:val="Table-Head-Left"/>
              <w:spacing w:before="120" w:after="120"/>
              <w:rPr>
                <w:rFonts w:ascii="Arial" w:hAnsi="Arial" w:cs="Arial"/>
              </w:rPr>
            </w:pPr>
            <w:r w:rsidRPr="008D182D">
              <w:rPr>
                <w:rFonts w:ascii="Arial" w:hAnsi="Arial" w:cs="Arial"/>
              </w:rPr>
              <w:lastRenderedPageBreak/>
              <w:t>Errors</w:t>
            </w:r>
          </w:p>
        </w:tc>
        <w:tc>
          <w:tcPr>
            <w:tcW w:w="5760" w:type="dxa"/>
          </w:tcPr>
          <w:p w14:paraId="3A5B3E61" w14:textId="77777777" w:rsidR="00996FA9" w:rsidRPr="008D182D" w:rsidRDefault="009B48C9" w:rsidP="008D182D">
            <w:pPr>
              <w:pStyle w:val="Table-Cell-Left"/>
              <w:spacing w:before="120" w:after="120"/>
              <w:rPr>
                <w:rFonts w:ascii="Arial" w:hAnsi="Arial" w:cs="Arial"/>
              </w:rPr>
            </w:pPr>
            <w:r w:rsidRPr="008D182D">
              <w:rPr>
                <w:rFonts w:ascii="Arial" w:hAnsi="Arial" w:cs="Arial"/>
              </w:rPr>
              <w:t>Mathematical mistakes, mistakes in the application of accounting principles, or oversight or misuse of facts that existed at the time the financial statements were prepared.</w:t>
            </w:r>
          </w:p>
        </w:tc>
      </w:tr>
      <w:tr w:rsidR="00D845AA" w:rsidRPr="00166622" w14:paraId="4B891E85" w14:textId="77777777" w:rsidTr="00453A1F">
        <w:trPr>
          <w:trHeight w:val="288"/>
        </w:trPr>
        <w:tc>
          <w:tcPr>
            <w:tcW w:w="3600" w:type="dxa"/>
          </w:tcPr>
          <w:p w14:paraId="7488FCA9" w14:textId="77777777" w:rsidR="00D845AA" w:rsidRPr="00B72EF2" w:rsidRDefault="00D845AA" w:rsidP="00841778">
            <w:pPr>
              <w:pStyle w:val="Table-Head-Left"/>
              <w:spacing w:before="120" w:after="120"/>
              <w:rPr>
                <w:rFonts w:ascii="Arial" w:hAnsi="Arial" w:cs="Arial"/>
              </w:rPr>
            </w:pPr>
            <w:r>
              <w:rPr>
                <w:rFonts w:ascii="Arial" w:hAnsi="Arial" w:cs="Arial"/>
              </w:rPr>
              <w:t xml:space="preserve">Existence or occurrence </w:t>
            </w:r>
          </w:p>
        </w:tc>
        <w:tc>
          <w:tcPr>
            <w:tcW w:w="5760" w:type="dxa"/>
          </w:tcPr>
          <w:p w14:paraId="4651CF43" w14:textId="77777777" w:rsidR="00D845AA" w:rsidRPr="00B72EF2" w:rsidRDefault="00D845AA" w:rsidP="00841778">
            <w:pPr>
              <w:pStyle w:val="Table-Cell-Left"/>
              <w:spacing w:before="120" w:after="120"/>
              <w:rPr>
                <w:rFonts w:ascii="Arial" w:hAnsi="Arial" w:cs="Arial"/>
              </w:rPr>
            </w:pPr>
            <w:r w:rsidRPr="00D845AA">
              <w:rPr>
                <w:rFonts w:ascii="Arial" w:hAnsi="Arial" w:cs="Arial"/>
              </w:rPr>
              <w:t>Recorded transactions and events occurred during the given period, are properly classified, and pertain to the entity. An entity’s assets, liabilities, and net position exist at a given date.</w:t>
            </w:r>
          </w:p>
        </w:tc>
      </w:tr>
      <w:tr w:rsidR="001E3A8F" w:rsidRPr="00166622" w14:paraId="7017535E" w14:textId="77777777" w:rsidTr="00453A1F">
        <w:trPr>
          <w:trHeight w:val="288"/>
        </w:trPr>
        <w:tc>
          <w:tcPr>
            <w:tcW w:w="3600" w:type="dxa"/>
          </w:tcPr>
          <w:p w14:paraId="6664C4B5" w14:textId="77777777" w:rsidR="001E3A8F" w:rsidRPr="00B72EF2" w:rsidRDefault="001E3A8F" w:rsidP="00841778">
            <w:pPr>
              <w:pStyle w:val="Table-Head-Left"/>
              <w:spacing w:before="120" w:after="120"/>
              <w:rPr>
                <w:rFonts w:ascii="Arial" w:hAnsi="Arial" w:cs="Arial"/>
              </w:rPr>
            </w:pPr>
            <w:r w:rsidRPr="00B72EF2">
              <w:rPr>
                <w:rFonts w:ascii="Arial" w:hAnsi="Arial" w:cs="Arial"/>
              </w:rPr>
              <w:t>Expectation</w:t>
            </w:r>
          </w:p>
        </w:tc>
        <w:tc>
          <w:tcPr>
            <w:tcW w:w="5760" w:type="dxa"/>
          </w:tcPr>
          <w:p w14:paraId="42DB3F47" w14:textId="77777777" w:rsidR="00996FA9" w:rsidRPr="00B72EF2" w:rsidRDefault="001E3A8F" w:rsidP="00841778">
            <w:pPr>
              <w:pStyle w:val="Table-Cell-Left"/>
              <w:spacing w:before="120" w:after="120"/>
              <w:rPr>
                <w:rFonts w:ascii="Arial" w:hAnsi="Arial" w:cs="Arial"/>
              </w:rPr>
            </w:pPr>
            <w:r w:rsidRPr="00B72EF2">
              <w:rPr>
                <w:rFonts w:ascii="Arial" w:hAnsi="Arial" w:cs="Arial"/>
              </w:rPr>
              <w:t>The auditor’s estimate of a recorded amount (based on an analysis and understanding of relationships between the recorded amounts and other data) in an analytical procedure.</w:t>
            </w:r>
          </w:p>
        </w:tc>
      </w:tr>
      <w:tr w:rsidR="001E3A8F" w:rsidRPr="00166622" w14:paraId="3FE61ABF" w14:textId="77777777" w:rsidTr="00453A1F">
        <w:trPr>
          <w:trHeight w:val="288"/>
        </w:trPr>
        <w:tc>
          <w:tcPr>
            <w:tcW w:w="3600" w:type="dxa"/>
          </w:tcPr>
          <w:p w14:paraId="49E62F6A" w14:textId="77777777" w:rsidR="001E3A8F" w:rsidRPr="00B72EF2" w:rsidRDefault="001E3A8F" w:rsidP="00841778">
            <w:pPr>
              <w:pStyle w:val="Table-Head-Left"/>
              <w:spacing w:before="120" w:after="120"/>
              <w:rPr>
                <w:rFonts w:ascii="Arial" w:hAnsi="Arial" w:cs="Arial"/>
              </w:rPr>
            </w:pPr>
            <w:r w:rsidRPr="00B72EF2">
              <w:rPr>
                <w:rFonts w:ascii="Arial" w:hAnsi="Arial" w:cs="Arial"/>
              </w:rPr>
              <w:t>Expected misstatement</w:t>
            </w:r>
          </w:p>
        </w:tc>
        <w:tc>
          <w:tcPr>
            <w:tcW w:w="5760" w:type="dxa"/>
          </w:tcPr>
          <w:p w14:paraId="1EB5CF80" w14:textId="77777777" w:rsidR="00996FA9" w:rsidRPr="00B72EF2" w:rsidRDefault="001E3A8F" w:rsidP="00841778">
            <w:pPr>
              <w:pStyle w:val="Table-Cell-Left"/>
              <w:spacing w:before="120" w:after="120"/>
              <w:rPr>
                <w:rFonts w:ascii="Arial" w:hAnsi="Arial" w:cs="Arial"/>
              </w:rPr>
            </w:pPr>
            <w:r w:rsidRPr="00B72EF2">
              <w:rPr>
                <w:rFonts w:ascii="Arial" w:hAnsi="Arial" w:cs="Arial"/>
              </w:rPr>
              <w:t>The dollar amount of misstatements the auditor expects in a population.</w:t>
            </w:r>
          </w:p>
        </w:tc>
      </w:tr>
      <w:tr w:rsidR="001E3A8F" w:rsidRPr="00166622" w14:paraId="5611143F" w14:textId="77777777" w:rsidTr="00453A1F">
        <w:trPr>
          <w:trHeight w:val="288"/>
        </w:trPr>
        <w:tc>
          <w:tcPr>
            <w:tcW w:w="3600" w:type="dxa"/>
          </w:tcPr>
          <w:p w14:paraId="799CE288" w14:textId="77777777" w:rsidR="001E3A8F" w:rsidRPr="008D182D" w:rsidRDefault="001E3A8F" w:rsidP="001A1C51">
            <w:pPr>
              <w:pStyle w:val="Table-Head-Left"/>
              <w:spacing w:before="120" w:after="120"/>
              <w:rPr>
                <w:rFonts w:ascii="Arial" w:hAnsi="Arial" w:cs="Arial"/>
              </w:rPr>
            </w:pPr>
            <w:r w:rsidRPr="008D182D">
              <w:rPr>
                <w:rFonts w:ascii="Arial" w:hAnsi="Arial" w:cs="Arial"/>
              </w:rPr>
              <w:t>Expired</w:t>
            </w:r>
            <w:r w:rsidR="00E77FEB" w:rsidRPr="008D182D">
              <w:rPr>
                <w:rFonts w:ascii="Arial" w:hAnsi="Arial" w:cs="Arial"/>
              </w:rPr>
              <w:t xml:space="preserve"> a</w:t>
            </w:r>
            <w:r w:rsidR="008D182D">
              <w:rPr>
                <w:rFonts w:ascii="Arial" w:hAnsi="Arial" w:cs="Arial"/>
              </w:rPr>
              <w:t>ccounts (a</w:t>
            </w:r>
            <w:r w:rsidR="00E77FEB" w:rsidRPr="008D182D">
              <w:rPr>
                <w:rFonts w:ascii="Arial" w:hAnsi="Arial" w:cs="Arial"/>
              </w:rPr>
              <w:t>ppropriations)</w:t>
            </w:r>
          </w:p>
        </w:tc>
        <w:tc>
          <w:tcPr>
            <w:tcW w:w="5760" w:type="dxa"/>
          </w:tcPr>
          <w:p w14:paraId="12AB70BF" w14:textId="77777777" w:rsidR="00996FA9" w:rsidRPr="008D182D" w:rsidRDefault="00E77FEB" w:rsidP="001A1C51">
            <w:pPr>
              <w:pStyle w:val="Table-Cell-Left"/>
              <w:spacing w:before="120" w:after="120"/>
              <w:rPr>
                <w:rFonts w:ascii="Arial" w:hAnsi="Arial" w:cs="Arial"/>
              </w:rPr>
            </w:pPr>
            <w:r w:rsidRPr="008D182D">
              <w:rPr>
                <w:rFonts w:ascii="Arial" w:hAnsi="Arial" w:cs="Arial"/>
              </w:rPr>
              <w:t>Accounts in which the balances are no longer available for incurring new obligations because the time available for incurring such obligations has expired.</w:t>
            </w:r>
          </w:p>
        </w:tc>
      </w:tr>
      <w:tr w:rsidR="009F4273" w:rsidRPr="00166622" w14:paraId="040EA0F6" w14:textId="77777777" w:rsidTr="00453A1F">
        <w:trPr>
          <w:trHeight w:val="288"/>
        </w:trPr>
        <w:tc>
          <w:tcPr>
            <w:tcW w:w="3600" w:type="dxa"/>
          </w:tcPr>
          <w:p w14:paraId="68428BF4" w14:textId="77777777" w:rsidR="009F4273" w:rsidRPr="009F4273" w:rsidRDefault="009F4273" w:rsidP="001A1C51">
            <w:pPr>
              <w:pStyle w:val="Table-Head-Left"/>
              <w:spacing w:before="120" w:after="120"/>
              <w:rPr>
                <w:rFonts w:ascii="Arial" w:hAnsi="Arial" w:cs="Arial"/>
              </w:rPr>
            </w:pPr>
            <w:r w:rsidRPr="009F4273">
              <w:rPr>
                <w:rFonts w:ascii="Arial" w:hAnsi="Arial" w:cs="Arial"/>
              </w:rPr>
              <w:t>External confirmation</w:t>
            </w:r>
          </w:p>
        </w:tc>
        <w:tc>
          <w:tcPr>
            <w:tcW w:w="5760" w:type="dxa"/>
          </w:tcPr>
          <w:p w14:paraId="5BFFEC07" w14:textId="77777777" w:rsidR="009F4273" w:rsidRPr="009F4273" w:rsidDel="00E77FEB" w:rsidRDefault="009F4273" w:rsidP="001A1C51">
            <w:pPr>
              <w:pStyle w:val="Table-Cell-Left"/>
              <w:spacing w:before="120" w:after="120"/>
              <w:rPr>
                <w:rFonts w:ascii="Arial" w:hAnsi="Arial" w:cs="Arial"/>
              </w:rPr>
            </w:pPr>
            <w:r w:rsidRPr="009F4273">
              <w:rPr>
                <w:rFonts w:ascii="Arial" w:hAnsi="Arial" w:cs="Arial"/>
              </w:rPr>
              <w:t>Audit evidence obtained as a direct written response to the auditor from a third party (the confirming party), either in paper form or by electronic or other medium (for example, through the auditor's direct access to information held by a third party).</w:t>
            </w:r>
          </w:p>
        </w:tc>
      </w:tr>
      <w:tr w:rsidR="00056AB1" w:rsidRPr="00166622" w14:paraId="096F03AA" w14:textId="77777777" w:rsidTr="00453A1F">
        <w:trPr>
          <w:trHeight w:val="288"/>
        </w:trPr>
        <w:tc>
          <w:tcPr>
            <w:tcW w:w="3600" w:type="dxa"/>
            <w:shd w:val="clear" w:color="auto" w:fill="auto"/>
          </w:tcPr>
          <w:p w14:paraId="4041BDBB" w14:textId="77777777" w:rsidR="00056AB1" w:rsidRPr="009F4273" w:rsidRDefault="00056AB1" w:rsidP="001A1C51">
            <w:pPr>
              <w:pStyle w:val="Table-Head-Left"/>
              <w:spacing w:before="120" w:after="120"/>
              <w:rPr>
                <w:rFonts w:ascii="Arial" w:hAnsi="Arial" w:cs="Arial"/>
              </w:rPr>
            </w:pPr>
            <w:r w:rsidRPr="009F4273">
              <w:rPr>
                <w:rFonts w:ascii="Arial" w:hAnsi="Arial" w:cs="Arial"/>
              </w:rPr>
              <w:t>Factual misstatement</w:t>
            </w:r>
          </w:p>
        </w:tc>
        <w:tc>
          <w:tcPr>
            <w:tcW w:w="5760" w:type="dxa"/>
            <w:shd w:val="clear" w:color="auto" w:fill="auto"/>
          </w:tcPr>
          <w:p w14:paraId="351889E6" w14:textId="77777777" w:rsidR="00056AB1" w:rsidRPr="009F4273" w:rsidRDefault="00056AB1" w:rsidP="001A1C51">
            <w:pPr>
              <w:pStyle w:val="Table-Cell-Left"/>
              <w:spacing w:before="120" w:after="120"/>
              <w:rPr>
                <w:rFonts w:ascii="Arial" w:hAnsi="Arial" w:cs="Arial"/>
              </w:rPr>
            </w:pPr>
            <w:r w:rsidRPr="009F4273">
              <w:rPr>
                <w:rFonts w:ascii="Arial" w:hAnsi="Arial" w:cs="Arial"/>
              </w:rPr>
              <w:t>A misstatement in which there is no doubt about the amount of the misstatement.</w:t>
            </w:r>
          </w:p>
        </w:tc>
      </w:tr>
      <w:tr w:rsidR="00056AB1" w:rsidRPr="00166622" w14:paraId="479040E2" w14:textId="77777777" w:rsidTr="00453A1F">
        <w:trPr>
          <w:trHeight w:val="288"/>
        </w:trPr>
        <w:tc>
          <w:tcPr>
            <w:tcW w:w="3600" w:type="dxa"/>
          </w:tcPr>
          <w:p w14:paraId="02EC52B3" w14:textId="77777777" w:rsidR="00056AB1" w:rsidRPr="00166622" w:rsidRDefault="00056AB1" w:rsidP="00DB16AF">
            <w:pPr>
              <w:pStyle w:val="Table-Head-Left"/>
              <w:spacing w:before="120" w:after="120"/>
              <w:rPr>
                <w:rFonts w:ascii="Arial" w:hAnsi="Arial" w:cs="Arial"/>
              </w:rPr>
            </w:pPr>
            <w:r w:rsidRPr="00166622">
              <w:rPr>
                <w:rFonts w:ascii="Arial" w:hAnsi="Arial" w:cs="Arial"/>
              </w:rPr>
              <w:t>Federal financial</w:t>
            </w:r>
            <w:r w:rsidR="00DB16AF">
              <w:rPr>
                <w:rFonts w:ascii="Arial" w:hAnsi="Arial" w:cs="Arial"/>
              </w:rPr>
              <w:t xml:space="preserve"> </w:t>
            </w:r>
            <w:r w:rsidRPr="00166622">
              <w:rPr>
                <w:rFonts w:ascii="Arial" w:hAnsi="Arial" w:cs="Arial"/>
              </w:rPr>
              <w:t>management</w:t>
            </w:r>
            <w:r w:rsidR="00DB16AF">
              <w:rPr>
                <w:rFonts w:ascii="Arial" w:hAnsi="Arial" w:cs="Arial"/>
              </w:rPr>
              <w:t xml:space="preserve"> </w:t>
            </w:r>
            <w:r w:rsidRPr="00166622">
              <w:rPr>
                <w:rFonts w:ascii="Arial" w:hAnsi="Arial" w:cs="Arial"/>
              </w:rPr>
              <w:t>systems requirements</w:t>
            </w:r>
          </w:p>
        </w:tc>
        <w:tc>
          <w:tcPr>
            <w:tcW w:w="5760" w:type="dxa"/>
          </w:tcPr>
          <w:p w14:paraId="3F2D4A82" w14:textId="77777777" w:rsidR="00056AB1" w:rsidRPr="00166622" w:rsidRDefault="002861F9" w:rsidP="001A1C51">
            <w:pPr>
              <w:autoSpaceDE w:val="0"/>
              <w:autoSpaceDN w:val="0"/>
              <w:adjustRightInd w:val="0"/>
              <w:spacing w:before="120" w:after="120"/>
              <w:rPr>
                <w:rFonts w:ascii="Arial" w:hAnsi="Arial" w:cs="Arial"/>
              </w:rPr>
            </w:pPr>
            <w:r w:rsidRPr="00166622">
              <w:rPr>
                <w:rFonts w:ascii="Arial" w:hAnsi="Arial" w:cs="Arial"/>
              </w:rPr>
              <w:t>Consists of three parts: (a) reliable financial reporting, (b) effective and efficient operations, and (c) compliance with applicable laws and regulations.</w:t>
            </w:r>
            <w:r w:rsidR="00C64474" w:rsidRPr="00166622">
              <w:rPr>
                <w:rFonts w:ascii="Arial" w:hAnsi="Arial" w:cs="Arial"/>
              </w:rPr>
              <w:t xml:space="preserve"> OMB and Treasury will develop, issue, and maintain the Federal Financial Management System Requirements to support these areas and publish them in the TFM.</w:t>
            </w:r>
          </w:p>
        </w:tc>
      </w:tr>
      <w:tr w:rsidR="00DB16AF" w:rsidRPr="00166622" w14:paraId="04849DEF" w14:textId="77777777" w:rsidTr="00453A1F">
        <w:trPr>
          <w:trHeight w:val="288"/>
        </w:trPr>
        <w:tc>
          <w:tcPr>
            <w:tcW w:w="3600" w:type="dxa"/>
            <w:shd w:val="clear" w:color="auto" w:fill="auto"/>
          </w:tcPr>
          <w:p w14:paraId="0415FEEA" w14:textId="77777777" w:rsidR="00DB16AF" w:rsidRPr="009F4273" w:rsidRDefault="00DB16AF" w:rsidP="001A1C51">
            <w:pPr>
              <w:pStyle w:val="Table-Head-Left"/>
              <w:spacing w:before="120" w:after="120"/>
              <w:rPr>
                <w:rFonts w:ascii="Arial" w:hAnsi="Arial" w:cs="Arial"/>
              </w:rPr>
            </w:pPr>
            <w:r>
              <w:rPr>
                <w:rFonts w:ascii="Arial" w:hAnsi="Arial" w:cs="Arial"/>
              </w:rPr>
              <w:t>Federal reporting entities</w:t>
            </w:r>
          </w:p>
        </w:tc>
        <w:tc>
          <w:tcPr>
            <w:tcW w:w="5760" w:type="dxa"/>
          </w:tcPr>
          <w:p w14:paraId="5AE0FE32" w14:textId="77777777" w:rsidR="00DB16AF" w:rsidRPr="009F4273" w:rsidRDefault="00DB16AF">
            <w:pPr>
              <w:autoSpaceDE w:val="0"/>
              <w:autoSpaceDN w:val="0"/>
              <w:spacing w:before="120" w:after="120"/>
              <w:rPr>
                <w:rFonts w:ascii="Arial" w:hAnsi="Arial" w:cs="Arial"/>
              </w:rPr>
            </w:pPr>
            <w:r w:rsidRPr="00DB16AF">
              <w:rPr>
                <w:rFonts w:ascii="Arial" w:hAnsi="Arial" w:cs="Arial"/>
              </w:rPr>
              <w:t xml:space="preserve">Reporting entities are organizations that issue a </w:t>
            </w:r>
            <w:r w:rsidR="00996CD0">
              <w:rPr>
                <w:rFonts w:ascii="Arial" w:hAnsi="Arial" w:cs="Arial"/>
              </w:rPr>
              <w:t>general purpose federal financial report</w:t>
            </w:r>
            <w:r w:rsidRPr="00DB16AF">
              <w:rPr>
                <w:rFonts w:ascii="Arial" w:hAnsi="Arial" w:cs="Arial"/>
              </w:rPr>
              <w:t xml:space="preserve"> because either</w:t>
            </w:r>
            <w:r w:rsidR="00996CD0">
              <w:rPr>
                <w:rFonts w:ascii="Arial" w:hAnsi="Arial" w:cs="Arial"/>
              </w:rPr>
              <w:t xml:space="preserve"> </w:t>
            </w:r>
            <w:r w:rsidRPr="00DB16AF">
              <w:rPr>
                <w:rFonts w:ascii="Arial" w:hAnsi="Arial" w:cs="Arial"/>
              </w:rPr>
              <w:t xml:space="preserve">there is a statutory or administrative requirement to prepare </w:t>
            </w:r>
            <w:r w:rsidR="00996CD0">
              <w:rPr>
                <w:rFonts w:ascii="Arial" w:hAnsi="Arial" w:cs="Arial"/>
              </w:rPr>
              <w:t>one</w:t>
            </w:r>
            <w:r w:rsidRPr="00DB16AF">
              <w:rPr>
                <w:rFonts w:ascii="Arial" w:hAnsi="Arial" w:cs="Arial"/>
              </w:rPr>
              <w:t xml:space="preserve"> or they choose to</w:t>
            </w:r>
            <w:r w:rsidR="00996CD0">
              <w:rPr>
                <w:rFonts w:ascii="Arial" w:hAnsi="Arial" w:cs="Arial"/>
              </w:rPr>
              <w:t xml:space="preserve"> </w:t>
            </w:r>
            <w:r w:rsidRPr="00DB16AF">
              <w:rPr>
                <w:rFonts w:ascii="Arial" w:hAnsi="Arial" w:cs="Arial"/>
              </w:rPr>
              <w:t>prepare one. The term “reporting entity” may refer to either the government-wide reporting</w:t>
            </w:r>
            <w:r w:rsidR="00996CD0">
              <w:rPr>
                <w:rFonts w:ascii="Arial" w:hAnsi="Arial" w:cs="Arial"/>
              </w:rPr>
              <w:t xml:space="preserve"> </w:t>
            </w:r>
            <w:r w:rsidRPr="00DB16AF">
              <w:rPr>
                <w:rFonts w:ascii="Arial" w:hAnsi="Arial" w:cs="Arial"/>
              </w:rPr>
              <w:t>entity or a component reporting entity.</w:t>
            </w:r>
            <w:r w:rsidR="00BE26D8">
              <w:rPr>
                <w:rFonts w:ascii="Arial" w:hAnsi="Arial" w:cs="Arial"/>
              </w:rPr>
              <w:t xml:space="preserve"> </w:t>
            </w:r>
            <w:r w:rsidRPr="00DB16AF">
              <w:rPr>
                <w:rFonts w:ascii="Arial" w:hAnsi="Arial" w:cs="Arial"/>
              </w:rPr>
              <w:t xml:space="preserve">Statement of Federal </w:t>
            </w:r>
            <w:r w:rsidRPr="00DB16AF">
              <w:rPr>
                <w:rFonts w:ascii="Arial" w:hAnsi="Arial" w:cs="Arial"/>
              </w:rPr>
              <w:lastRenderedPageBreak/>
              <w:t>Financial Accounting Concepts (SFFAC) 2 provides criteria for an</w:t>
            </w:r>
            <w:r w:rsidR="00996CD0">
              <w:rPr>
                <w:rFonts w:ascii="Arial" w:hAnsi="Arial" w:cs="Arial"/>
              </w:rPr>
              <w:t xml:space="preserve"> </w:t>
            </w:r>
            <w:r w:rsidRPr="00DB16AF">
              <w:rPr>
                <w:rFonts w:ascii="Arial" w:hAnsi="Arial" w:cs="Arial"/>
              </w:rPr>
              <w:t>entity to be a reporting entity.</w:t>
            </w:r>
            <w:r w:rsidR="00996CD0">
              <w:rPr>
                <w:rFonts w:ascii="Arial" w:hAnsi="Arial" w:cs="Arial"/>
              </w:rPr>
              <w:t xml:space="preserve"> </w:t>
            </w:r>
            <w:r w:rsidRPr="00DB16AF">
              <w:rPr>
                <w:rFonts w:ascii="Arial" w:hAnsi="Arial" w:cs="Arial"/>
              </w:rPr>
              <w:t xml:space="preserve"> </w:t>
            </w:r>
          </w:p>
        </w:tc>
      </w:tr>
      <w:tr w:rsidR="003F037A" w:rsidRPr="00166622" w14:paraId="4BBBC96B" w14:textId="77777777" w:rsidTr="00453A1F">
        <w:trPr>
          <w:trHeight w:val="288"/>
        </w:trPr>
        <w:tc>
          <w:tcPr>
            <w:tcW w:w="3600" w:type="dxa"/>
          </w:tcPr>
          <w:p w14:paraId="6EAB7E29" w14:textId="77777777" w:rsidR="003F037A" w:rsidRPr="009F4273" w:rsidRDefault="003F037A" w:rsidP="001A1C51">
            <w:pPr>
              <w:pStyle w:val="Table-Head-Left"/>
              <w:spacing w:before="120" w:after="120"/>
              <w:rPr>
                <w:rFonts w:ascii="Arial" w:hAnsi="Arial" w:cs="Arial"/>
              </w:rPr>
            </w:pPr>
            <w:r w:rsidRPr="009F4273">
              <w:rPr>
                <w:rFonts w:ascii="Arial" w:hAnsi="Arial" w:cs="Arial"/>
              </w:rPr>
              <w:lastRenderedPageBreak/>
              <w:t>Financial management systems</w:t>
            </w:r>
          </w:p>
        </w:tc>
        <w:tc>
          <w:tcPr>
            <w:tcW w:w="5760" w:type="dxa"/>
          </w:tcPr>
          <w:p w14:paraId="4413EEC5" w14:textId="77777777" w:rsidR="003F037A" w:rsidRPr="009F4273" w:rsidRDefault="003F037A" w:rsidP="001A1C51">
            <w:pPr>
              <w:autoSpaceDE w:val="0"/>
              <w:autoSpaceDN w:val="0"/>
              <w:spacing w:before="120" w:after="120"/>
              <w:rPr>
                <w:rFonts w:ascii="Arial" w:hAnsi="Arial" w:cs="Arial"/>
              </w:rPr>
            </w:pPr>
            <w:r w:rsidRPr="009F4273">
              <w:rPr>
                <w:rFonts w:ascii="Arial" w:hAnsi="Arial" w:cs="Arial"/>
              </w:rPr>
              <w:t>The financial systems and the</w:t>
            </w:r>
            <w:r w:rsidR="002D501F" w:rsidRPr="009F4273">
              <w:rPr>
                <w:rFonts w:ascii="Arial" w:hAnsi="Arial" w:cs="Arial"/>
              </w:rPr>
              <w:t xml:space="preserve"> </w:t>
            </w:r>
            <w:r w:rsidRPr="009F4273">
              <w:rPr>
                <w:rFonts w:ascii="Arial" w:hAnsi="Arial" w:cs="Arial"/>
              </w:rPr>
              <w:t>financial portions of mixed systems necessary to support financial</w:t>
            </w:r>
            <w:r w:rsidR="002D501F" w:rsidRPr="009F4273">
              <w:rPr>
                <w:rFonts w:ascii="Arial" w:hAnsi="Arial" w:cs="Arial"/>
              </w:rPr>
              <w:t xml:space="preserve"> </w:t>
            </w:r>
            <w:r w:rsidRPr="009F4273">
              <w:rPr>
                <w:rFonts w:ascii="Arial" w:hAnsi="Arial" w:cs="Arial"/>
              </w:rPr>
              <w:t>management, including automated and manual processes,</w:t>
            </w:r>
            <w:r w:rsidR="002D501F" w:rsidRPr="009F4273">
              <w:rPr>
                <w:rFonts w:ascii="Arial" w:hAnsi="Arial" w:cs="Arial"/>
              </w:rPr>
              <w:t xml:space="preserve"> </w:t>
            </w:r>
            <w:r w:rsidRPr="009F4273">
              <w:rPr>
                <w:rFonts w:ascii="Arial" w:hAnsi="Arial" w:cs="Arial"/>
              </w:rPr>
              <w:t>procedures, controls, data, hardware, software, and support</w:t>
            </w:r>
            <w:r w:rsidR="002D501F" w:rsidRPr="009F4273">
              <w:rPr>
                <w:rFonts w:ascii="Arial" w:hAnsi="Arial" w:cs="Arial"/>
              </w:rPr>
              <w:t xml:space="preserve"> </w:t>
            </w:r>
            <w:r w:rsidRPr="009F4273">
              <w:rPr>
                <w:rFonts w:ascii="Arial" w:hAnsi="Arial" w:cs="Arial"/>
              </w:rPr>
              <w:t>personnel dedicated to the operation and maintenance of system</w:t>
            </w:r>
            <w:r w:rsidR="002D501F" w:rsidRPr="009F4273">
              <w:rPr>
                <w:rFonts w:ascii="Arial" w:hAnsi="Arial" w:cs="Arial"/>
              </w:rPr>
              <w:t xml:space="preserve"> </w:t>
            </w:r>
            <w:r w:rsidRPr="009F4273">
              <w:rPr>
                <w:rFonts w:ascii="Arial" w:hAnsi="Arial" w:cs="Arial"/>
              </w:rPr>
              <w:t>functions.</w:t>
            </w:r>
          </w:p>
        </w:tc>
      </w:tr>
      <w:tr w:rsidR="00056AB1" w:rsidRPr="00166622" w14:paraId="44978644" w14:textId="77777777" w:rsidTr="00453A1F">
        <w:trPr>
          <w:trHeight w:val="288"/>
        </w:trPr>
        <w:tc>
          <w:tcPr>
            <w:tcW w:w="3600" w:type="dxa"/>
          </w:tcPr>
          <w:p w14:paraId="7E2ADD24" w14:textId="77777777" w:rsidR="00056AB1" w:rsidRPr="009F4273" w:rsidRDefault="00056AB1" w:rsidP="001A1C51">
            <w:pPr>
              <w:pStyle w:val="Table-Head-Left"/>
              <w:spacing w:before="120" w:after="120"/>
              <w:rPr>
                <w:rFonts w:ascii="Arial" w:hAnsi="Arial" w:cs="Arial"/>
              </w:rPr>
            </w:pPr>
            <w:r w:rsidRPr="009F4273">
              <w:rPr>
                <w:rFonts w:ascii="Arial" w:hAnsi="Arial" w:cs="Arial"/>
              </w:rPr>
              <w:t>Financial reporting control</w:t>
            </w:r>
          </w:p>
        </w:tc>
        <w:tc>
          <w:tcPr>
            <w:tcW w:w="5760" w:type="dxa"/>
          </w:tcPr>
          <w:p w14:paraId="4D72B506" w14:textId="77777777" w:rsidR="00056AB1" w:rsidRPr="009F4273" w:rsidRDefault="00056AB1" w:rsidP="001A1C51">
            <w:pPr>
              <w:pStyle w:val="Table-Cell-Left"/>
              <w:spacing w:before="120" w:after="120"/>
              <w:rPr>
                <w:rFonts w:ascii="Arial" w:hAnsi="Arial" w:cs="Arial"/>
              </w:rPr>
            </w:pPr>
            <w:r w:rsidRPr="009F4273">
              <w:rPr>
                <w:rFonts w:ascii="Arial" w:hAnsi="Arial" w:cs="Arial"/>
              </w:rPr>
              <w:t>A process, created by management and other personnel, designed to provide reasonable assurance regarding the achievement of financial reporting objectives.</w:t>
            </w:r>
          </w:p>
        </w:tc>
      </w:tr>
      <w:tr w:rsidR="00056AB1" w:rsidRPr="00166622" w14:paraId="0C825039" w14:textId="77777777" w:rsidTr="00453A1F">
        <w:trPr>
          <w:trHeight w:val="288"/>
        </w:trPr>
        <w:tc>
          <w:tcPr>
            <w:tcW w:w="3600" w:type="dxa"/>
          </w:tcPr>
          <w:p w14:paraId="0406A570" w14:textId="77777777" w:rsidR="00056AB1" w:rsidRPr="009F4273" w:rsidRDefault="00056AB1" w:rsidP="001A1C51">
            <w:pPr>
              <w:pStyle w:val="Table-Head-Left"/>
              <w:spacing w:before="120" w:after="120"/>
              <w:rPr>
                <w:rFonts w:ascii="Arial" w:hAnsi="Arial" w:cs="Arial"/>
              </w:rPr>
            </w:pPr>
            <w:r w:rsidRPr="009F4273">
              <w:rPr>
                <w:rFonts w:ascii="Arial" w:hAnsi="Arial" w:cs="Arial"/>
              </w:rPr>
              <w:t>Financial statements (also called the basic or principal statements)</w:t>
            </w:r>
          </w:p>
        </w:tc>
        <w:tc>
          <w:tcPr>
            <w:tcW w:w="5760" w:type="dxa"/>
          </w:tcPr>
          <w:p w14:paraId="0E057F26" w14:textId="77777777" w:rsidR="00056AB1" w:rsidRPr="009F4273" w:rsidRDefault="00056AB1" w:rsidP="001A1C51">
            <w:pPr>
              <w:pStyle w:val="Table-Cell-Left"/>
              <w:spacing w:before="120" w:after="120"/>
              <w:rPr>
                <w:rFonts w:ascii="Arial" w:hAnsi="Arial" w:cs="Arial"/>
              </w:rPr>
            </w:pPr>
            <w:r w:rsidRPr="009F4273">
              <w:rPr>
                <w:rFonts w:ascii="Arial" w:hAnsi="Arial" w:cs="Arial"/>
              </w:rPr>
              <w:t>A component of a federal entity’s annual financial statement (also referred to as the Accountability Report), which consist of:</w:t>
            </w:r>
          </w:p>
          <w:p w14:paraId="03EB96E5" w14:textId="77777777" w:rsidR="00056AB1" w:rsidRPr="009F4273" w:rsidRDefault="00056AB1" w:rsidP="001A1C51">
            <w:pPr>
              <w:pStyle w:val="Table-Cell-Left"/>
              <w:numPr>
                <w:ilvl w:val="0"/>
                <w:numId w:val="30"/>
              </w:numPr>
              <w:tabs>
                <w:tab w:val="clear" w:pos="720"/>
                <w:tab w:val="num" w:pos="360"/>
              </w:tabs>
              <w:spacing w:before="120" w:after="120"/>
              <w:ind w:left="360"/>
              <w:rPr>
                <w:rFonts w:ascii="Arial" w:hAnsi="Arial" w:cs="Arial"/>
              </w:rPr>
            </w:pPr>
            <w:r w:rsidRPr="009F4273">
              <w:rPr>
                <w:rFonts w:ascii="Arial" w:hAnsi="Arial" w:cs="Arial"/>
              </w:rPr>
              <w:t>Balance Sheet</w:t>
            </w:r>
          </w:p>
          <w:p w14:paraId="00088A9D" w14:textId="77777777" w:rsidR="00056AB1" w:rsidRPr="009F4273" w:rsidRDefault="00056AB1" w:rsidP="001A1C51">
            <w:pPr>
              <w:pStyle w:val="Table-Cell-Left"/>
              <w:numPr>
                <w:ilvl w:val="0"/>
                <w:numId w:val="30"/>
              </w:numPr>
              <w:tabs>
                <w:tab w:val="clear" w:pos="720"/>
                <w:tab w:val="num" w:pos="360"/>
              </w:tabs>
              <w:spacing w:before="120" w:after="120"/>
              <w:ind w:left="360"/>
              <w:rPr>
                <w:rFonts w:ascii="Arial" w:hAnsi="Arial" w:cs="Arial"/>
              </w:rPr>
            </w:pPr>
            <w:r w:rsidRPr="009F4273">
              <w:rPr>
                <w:rFonts w:ascii="Arial" w:hAnsi="Arial" w:cs="Arial"/>
              </w:rPr>
              <w:t>Statement of Net Cost</w:t>
            </w:r>
          </w:p>
          <w:p w14:paraId="62BA5E15" w14:textId="77777777" w:rsidR="00056AB1" w:rsidRPr="009F4273" w:rsidRDefault="00056AB1" w:rsidP="001A1C51">
            <w:pPr>
              <w:pStyle w:val="Table-Cell-Left"/>
              <w:numPr>
                <w:ilvl w:val="0"/>
                <w:numId w:val="30"/>
              </w:numPr>
              <w:tabs>
                <w:tab w:val="clear" w:pos="720"/>
                <w:tab w:val="num" w:pos="360"/>
              </w:tabs>
              <w:spacing w:before="120" w:after="120"/>
              <w:ind w:left="360"/>
              <w:rPr>
                <w:rFonts w:ascii="Arial" w:hAnsi="Arial" w:cs="Arial"/>
              </w:rPr>
            </w:pPr>
            <w:r w:rsidRPr="009F4273">
              <w:rPr>
                <w:rFonts w:ascii="Arial" w:hAnsi="Arial" w:cs="Arial"/>
              </w:rPr>
              <w:t>Statement of Changes in Net Position</w:t>
            </w:r>
          </w:p>
          <w:p w14:paraId="22B83C8D" w14:textId="77777777" w:rsidR="00056AB1" w:rsidRPr="009F4273" w:rsidRDefault="00056AB1" w:rsidP="001A1C51">
            <w:pPr>
              <w:pStyle w:val="Table-Cell-Left"/>
              <w:numPr>
                <w:ilvl w:val="0"/>
                <w:numId w:val="30"/>
              </w:numPr>
              <w:tabs>
                <w:tab w:val="clear" w:pos="720"/>
                <w:tab w:val="num" w:pos="360"/>
              </w:tabs>
              <w:spacing w:before="120" w:after="120"/>
              <w:ind w:left="360"/>
              <w:rPr>
                <w:rFonts w:ascii="Arial" w:hAnsi="Arial" w:cs="Arial"/>
              </w:rPr>
            </w:pPr>
            <w:r w:rsidRPr="009F4273">
              <w:rPr>
                <w:rFonts w:ascii="Arial" w:hAnsi="Arial" w:cs="Arial"/>
              </w:rPr>
              <w:t>Statement of Budgetary Resources</w:t>
            </w:r>
          </w:p>
          <w:p w14:paraId="10F7A413" w14:textId="77777777" w:rsidR="00056AB1" w:rsidRPr="009F4273" w:rsidRDefault="00056AB1" w:rsidP="001A1C51">
            <w:pPr>
              <w:pStyle w:val="Table-Cell-Left"/>
              <w:numPr>
                <w:ilvl w:val="0"/>
                <w:numId w:val="30"/>
              </w:numPr>
              <w:tabs>
                <w:tab w:val="clear" w:pos="720"/>
                <w:tab w:val="num" w:pos="360"/>
              </w:tabs>
              <w:spacing w:before="120" w:after="120"/>
              <w:ind w:left="360"/>
              <w:rPr>
                <w:rFonts w:ascii="Arial" w:hAnsi="Arial" w:cs="Arial"/>
              </w:rPr>
            </w:pPr>
            <w:r w:rsidRPr="009F4273">
              <w:rPr>
                <w:rFonts w:ascii="Arial" w:hAnsi="Arial" w:cs="Arial"/>
              </w:rPr>
              <w:t>Statement of Custodial Activity (if applicable)</w:t>
            </w:r>
          </w:p>
          <w:p w14:paraId="075E1EE2" w14:textId="77777777" w:rsidR="00056AB1" w:rsidRPr="009F4273" w:rsidRDefault="00056AB1" w:rsidP="001A1C51">
            <w:pPr>
              <w:pStyle w:val="Table-Cell-Left"/>
              <w:numPr>
                <w:ilvl w:val="0"/>
                <w:numId w:val="30"/>
              </w:numPr>
              <w:tabs>
                <w:tab w:val="clear" w:pos="720"/>
                <w:tab w:val="num" w:pos="360"/>
              </w:tabs>
              <w:spacing w:before="120" w:after="120"/>
              <w:ind w:left="360"/>
              <w:rPr>
                <w:rFonts w:ascii="Arial" w:hAnsi="Arial" w:cs="Arial"/>
              </w:rPr>
            </w:pPr>
            <w:r w:rsidRPr="009F4273">
              <w:rPr>
                <w:rFonts w:ascii="Arial" w:hAnsi="Arial" w:cs="Arial"/>
              </w:rPr>
              <w:t>Statement of Social Insurance (if applicable)</w:t>
            </w:r>
          </w:p>
          <w:p w14:paraId="40D37D7F" w14:textId="77777777" w:rsidR="00056AB1" w:rsidRPr="00A74998" w:rsidRDefault="00056AB1" w:rsidP="001A1C51">
            <w:pPr>
              <w:pStyle w:val="Table-Cell-Left"/>
              <w:numPr>
                <w:ilvl w:val="0"/>
                <w:numId w:val="30"/>
              </w:numPr>
              <w:tabs>
                <w:tab w:val="clear" w:pos="720"/>
                <w:tab w:val="num" w:pos="360"/>
              </w:tabs>
              <w:spacing w:before="120" w:after="120"/>
              <w:ind w:left="360"/>
              <w:rPr>
                <w:rFonts w:ascii="Arial" w:hAnsi="Arial" w:cs="Arial"/>
              </w:rPr>
            </w:pPr>
            <w:r w:rsidRPr="009F4273">
              <w:rPr>
                <w:rFonts w:ascii="Arial" w:hAnsi="Arial" w:cs="Arial"/>
              </w:rPr>
              <w:t>Related note disclosures</w:t>
            </w:r>
          </w:p>
        </w:tc>
      </w:tr>
      <w:tr w:rsidR="00056AB1" w:rsidRPr="00166622" w14:paraId="4A37F0C0" w14:textId="77777777" w:rsidTr="00453A1F">
        <w:trPr>
          <w:trHeight w:val="288"/>
        </w:trPr>
        <w:tc>
          <w:tcPr>
            <w:tcW w:w="3600" w:type="dxa"/>
          </w:tcPr>
          <w:p w14:paraId="7E4C6170" w14:textId="77777777" w:rsidR="00056AB1" w:rsidRPr="00841778" w:rsidRDefault="00056AB1" w:rsidP="001A1C51">
            <w:pPr>
              <w:pStyle w:val="Table-Head-Left"/>
              <w:spacing w:before="120" w:after="120"/>
              <w:rPr>
                <w:rFonts w:ascii="Arial" w:hAnsi="Arial" w:cs="Arial"/>
              </w:rPr>
            </w:pPr>
            <w:r w:rsidRPr="00841778">
              <w:rPr>
                <w:rFonts w:ascii="Arial" w:hAnsi="Arial" w:cs="Arial"/>
              </w:rPr>
              <w:t>Fraud</w:t>
            </w:r>
          </w:p>
        </w:tc>
        <w:tc>
          <w:tcPr>
            <w:tcW w:w="5760" w:type="dxa"/>
          </w:tcPr>
          <w:p w14:paraId="5342F182" w14:textId="77777777" w:rsidR="00056AB1" w:rsidRPr="00841778" w:rsidRDefault="00841778" w:rsidP="001A1C51">
            <w:pPr>
              <w:pStyle w:val="Table-Cell-Left"/>
              <w:spacing w:before="120" w:after="120"/>
              <w:rPr>
                <w:rFonts w:ascii="Arial" w:hAnsi="Arial" w:cs="Arial"/>
              </w:rPr>
            </w:pPr>
            <w:r w:rsidRPr="00841778">
              <w:rPr>
                <w:rFonts w:ascii="Arial" w:hAnsi="Arial" w:cs="Arial"/>
              </w:rPr>
              <w:t>A</w:t>
            </w:r>
            <w:r w:rsidR="00056AB1" w:rsidRPr="00841778">
              <w:rPr>
                <w:rFonts w:ascii="Arial" w:hAnsi="Arial" w:cs="Arial"/>
              </w:rPr>
              <w:t>n intentional act by one or more individuals among management, those charged with governance, employees, or third parties, involving the use of deception that results in a misstatement in financial statements that are the subject of an audit.</w:t>
            </w:r>
          </w:p>
        </w:tc>
      </w:tr>
      <w:tr w:rsidR="00056AB1" w:rsidRPr="00166622" w14:paraId="185255AD" w14:textId="77777777" w:rsidTr="00453A1F">
        <w:trPr>
          <w:trHeight w:val="288"/>
        </w:trPr>
        <w:tc>
          <w:tcPr>
            <w:tcW w:w="3600" w:type="dxa"/>
          </w:tcPr>
          <w:p w14:paraId="5F1BDE80" w14:textId="77777777" w:rsidR="00056AB1" w:rsidRPr="009F4273" w:rsidRDefault="00056AB1" w:rsidP="001A1C51">
            <w:pPr>
              <w:pStyle w:val="Table-Head-Left"/>
              <w:spacing w:before="120" w:after="120"/>
              <w:rPr>
                <w:rFonts w:ascii="Arial" w:hAnsi="Arial" w:cs="Arial"/>
              </w:rPr>
            </w:pPr>
            <w:r w:rsidRPr="009F4273">
              <w:rPr>
                <w:rFonts w:ascii="Arial" w:hAnsi="Arial" w:cs="Arial"/>
              </w:rPr>
              <w:t>Fraud risk</w:t>
            </w:r>
          </w:p>
        </w:tc>
        <w:tc>
          <w:tcPr>
            <w:tcW w:w="5760" w:type="dxa"/>
          </w:tcPr>
          <w:p w14:paraId="4B33ABCB" w14:textId="77777777" w:rsidR="00056AB1" w:rsidRPr="009F4273" w:rsidRDefault="00F57A73" w:rsidP="001A1C51">
            <w:pPr>
              <w:pStyle w:val="Table-Cell-Left"/>
              <w:spacing w:before="120" w:after="120"/>
              <w:rPr>
                <w:rFonts w:ascii="Arial" w:hAnsi="Arial" w:cs="Arial"/>
              </w:rPr>
            </w:pPr>
            <w:r>
              <w:rPr>
                <w:rFonts w:ascii="Arial" w:hAnsi="Arial" w:cs="Arial"/>
              </w:rPr>
              <w:t>T</w:t>
            </w:r>
            <w:r w:rsidR="00056AB1" w:rsidRPr="009F4273">
              <w:rPr>
                <w:rFonts w:ascii="Arial" w:hAnsi="Arial" w:cs="Arial"/>
              </w:rPr>
              <w:t>he risk of fraudulent financial reporting and the risk of misappropriation of assets that cause a material misstatement of the financial statements.</w:t>
            </w:r>
          </w:p>
        </w:tc>
      </w:tr>
      <w:tr w:rsidR="00056AB1" w:rsidRPr="00166622" w14:paraId="0DAE0A2F" w14:textId="77777777" w:rsidTr="00453A1F">
        <w:trPr>
          <w:trHeight w:val="288"/>
        </w:trPr>
        <w:tc>
          <w:tcPr>
            <w:tcW w:w="3600" w:type="dxa"/>
          </w:tcPr>
          <w:p w14:paraId="29AD99E7" w14:textId="77777777" w:rsidR="00056AB1" w:rsidRPr="009F4273" w:rsidRDefault="00056AB1" w:rsidP="001A1C51">
            <w:pPr>
              <w:pStyle w:val="Table-Head-Left"/>
              <w:spacing w:before="120" w:after="120"/>
              <w:rPr>
                <w:rFonts w:ascii="Arial" w:hAnsi="Arial" w:cs="Arial"/>
              </w:rPr>
            </w:pPr>
            <w:r w:rsidRPr="009F4273">
              <w:rPr>
                <w:rFonts w:ascii="Arial" w:hAnsi="Arial" w:cs="Arial"/>
              </w:rPr>
              <w:t>Fraudulent financial reporting</w:t>
            </w:r>
          </w:p>
        </w:tc>
        <w:tc>
          <w:tcPr>
            <w:tcW w:w="5760" w:type="dxa"/>
          </w:tcPr>
          <w:p w14:paraId="03F5F469" w14:textId="77777777" w:rsidR="00056AB1" w:rsidRPr="009F4273" w:rsidRDefault="00056AB1" w:rsidP="001A1C51">
            <w:pPr>
              <w:pStyle w:val="Table-Cell-Left"/>
              <w:spacing w:before="120" w:after="120"/>
              <w:rPr>
                <w:rFonts w:ascii="Arial" w:hAnsi="Arial" w:cs="Arial"/>
              </w:rPr>
            </w:pPr>
            <w:r w:rsidRPr="009F4273">
              <w:rPr>
                <w:rFonts w:ascii="Arial" w:hAnsi="Arial" w:cs="Arial"/>
              </w:rPr>
              <w:t>Intentional misstatements or omissions of amounts or disclosures in financial statements to deceive financial statement users. Fraudulent financial reporting could involve intentional alteration of accounting records, misrepresentation of transactions, intentional misapplication of accounting principles, or other means.</w:t>
            </w:r>
          </w:p>
        </w:tc>
      </w:tr>
      <w:tr w:rsidR="00056AB1" w:rsidRPr="009F4273" w14:paraId="1A655C29" w14:textId="77777777" w:rsidTr="00453A1F">
        <w:trPr>
          <w:trHeight w:val="288"/>
        </w:trPr>
        <w:tc>
          <w:tcPr>
            <w:tcW w:w="3600" w:type="dxa"/>
          </w:tcPr>
          <w:p w14:paraId="68C95CBA" w14:textId="77777777" w:rsidR="00056AB1" w:rsidRPr="009F4273" w:rsidRDefault="00056AB1" w:rsidP="001A1C51">
            <w:pPr>
              <w:pStyle w:val="Table-Head-Left"/>
              <w:spacing w:before="120" w:after="120"/>
              <w:rPr>
                <w:rFonts w:ascii="Arial" w:hAnsi="Arial" w:cs="Arial"/>
              </w:rPr>
            </w:pPr>
            <w:r w:rsidRPr="009F4273">
              <w:rPr>
                <w:rFonts w:ascii="Arial" w:hAnsi="Arial" w:cs="Arial"/>
              </w:rPr>
              <w:lastRenderedPageBreak/>
              <w:t>Full cost</w:t>
            </w:r>
          </w:p>
        </w:tc>
        <w:tc>
          <w:tcPr>
            <w:tcW w:w="5760" w:type="dxa"/>
          </w:tcPr>
          <w:p w14:paraId="0FF7397E" w14:textId="11B2228B" w:rsidR="00056AB1" w:rsidRPr="009F4273" w:rsidRDefault="00056AB1" w:rsidP="001A1C51">
            <w:pPr>
              <w:pStyle w:val="Table-Cell-Left"/>
              <w:spacing w:before="120" w:after="120"/>
              <w:rPr>
                <w:rFonts w:ascii="Arial" w:hAnsi="Arial" w:cs="Arial"/>
              </w:rPr>
            </w:pPr>
            <w:r w:rsidRPr="009F4273">
              <w:rPr>
                <w:rFonts w:ascii="Arial" w:hAnsi="Arial" w:cs="Arial"/>
              </w:rPr>
              <w:t>The total amount of resources used to produce the output. More specifically, the full cost of an output produced by a respon</w:t>
            </w:r>
            <w:r w:rsidR="00D72A1A">
              <w:rPr>
                <w:rFonts w:ascii="Arial" w:hAnsi="Arial" w:cs="Arial"/>
              </w:rPr>
              <w:t xml:space="preserve">sibility segment is the sum of </w:t>
            </w:r>
            <w:r w:rsidRPr="009F4273">
              <w:rPr>
                <w:rFonts w:ascii="Arial" w:hAnsi="Arial" w:cs="Arial"/>
              </w:rPr>
              <w:t xml:space="preserve"> (1) the costs of resources consumed by the responsibility segment that directly or indirectly contribute to the output and (2) the costs of identifiable supporting services provided by other responsibility segments within the reporting entity and by other reporting entities. </w:t>
            </w:r>
          </w:p>
        </w:tc>
      </w:tr>
      <w:tr w:rsidR="00056AB1" w:rsidRPr="009F4273" w14:paraId="43288F50" w14:textId="77777777" w:rsidTr="00453A1F">
        <w:trPr>
          <w:trHeight w:val="288"/>
        </w:trPr>
        <w:tc>
          <w:tcPr>
            <w:tcW w:w="3600" w:type="dxa"/>
          </w:tcPr>
          <w:p w14:paraId="3D8D4C03" w14:textId="77777777" w:rsidR="00056AB1" w:rsidRPr="009F4273" w:rsidRDefault="00056AB1" w:rsidP="004F1893">
            <w:pPr>
              <w:pStyle w:val="Table-Head-Left"/>
              <w:spacing w:before="120" w:after="120"/>
              <w:rPr>
                <w:rFonts w:ascii="Arial" w:hAnsi="Arial" w:cs="Arial"/>
              </w:rPr>
            </w:pPr>
            <w:r w:rsidRPr="009F4273">
              <w:rPr>
                <w:rFonts w:ascii="Arial" w:hAnsi="Arial" w:cs="Arial"/>
              </w:rPr>
              <w:t>Fund Balance with Treasury (FBWT)</w:t>
            </w:r>
          </w:p>
        </w:tc>
        <w:tc>
          <w:tcPr>
            <w:tcW w:w="5760" w:type="dxa"/>
          </w:tcPr>
          <w:p w14:paraId="70A9F4FD" w14:textId="77777777" w:rsidR="00056AB1" w:rsidRPr="009F4273" w:rsidRDefault="00056AB1" w:rsidP="00CC0034">
            <w:pPr>
              <w:pStyle w:val="Table-Cell-Left"/>
              <w:spacing w:before="120" w:after="120"/>
              <w:rPr>
                <w:rFonts w:ascii="Arial" w:hAnsi="Arial" w:cs="Arial"/>
              </w:rPr>
            </w:pPr>
            <w:r w:rsidRPr="009F4273">
              <w:rPr>
                <w:rFonts w:ascii="Arial" w:hAnsi="Arial" w:cs="Arial"/>
              </w:rPr>
              <w:t>An asset account representing the unexpended spending authority in entity appropriations. Also serves as a mechanism to prevent entity disbursements from exceeding appropriated amounts.</w:t>
            </w:r>
          </w:p>
        </w:tc>
      </w:tr>
      <w:tr w:rsidR="00056AB1" w:rsidRPr="00166622" w14:paraId="75F1174C" w14:textId="77777777" w:rsidTr="00453A1F">
        <w:trPr>
          <w:trHeight w:val="288"/>
        </w:trPr>
        <w:tc>
          <w:tcPr>
            <w:tcW w:w="3600" w:type="dxa"/>
          </w:tcPr>
          <w:p w14:paraId="060EBE37" w14:textId="77777777" w:rsidR="00056AB1" w:rsidRPr="008F2306" w:rsidRDefault="00056AB1" w:rsidP="00CC0034">
            <w:pPr>
              <w:pStyle w:val="Table-Head-Left"/>
              <w:spacing w:before="120" w:after="120"/>
              <w:rPr>
                <w:rFonts w:ascii="Arial" w:hAnsi="Arial" w:cs="Arial"/>
              </w:rPr>
            </w:pPr>
            <w:r w:rsidRPr="008F2306">
              <w:rPr>
                <w:rFonts w:ascii="Arial" w:hAnsi="Arial" w:cs="Arial"/>
              </w:rPr>
              <w:t>General controls</w:t>
            </w:r>
          </w:p>
        </w:tc>
        <w:tc>
          <w:tcPr>
            <w:tcW w:w="5760" w:type="dxa"/>
          </w:tcPr>
          <w:p w14:paraId="7EA408C3" w14:textId="77777777" w:rsidR="00056AB1" w:rsidRPr="008F2306" w:rsidRDefault="00056AB1" w:rsidP="00CC0034">
            <w:pPr>
              <w:pStyle w:val="Table-Cell-Left"/>
              <w:spacing w:before="120" w:after="120"/>
              <w:rPr>
                <w:rFonts w:ascii="Arial" w:hAnsi="Arial" w:cs="Arial"/>
              </w:rPr>
            </w:pPr>
            <w:r w:rsidRPr="008F2306">
              <w:rPr>
                <w:rFonts w:ascii="Arial" w:hAnsi="Arial" w:cs="Arial"/>
              </w:rPr>
              <w:t>General controls are the policies and procedures that apply to all or a large segment of an entity’s information system. General controls help ensure the proper operation of information systems by creating the environment for proper operation of application controls.</w:t>
            </w:r>
          </w:p>
        </w:tc>
      </w:tr>
      <w:tr w:rsidR="00056AB1" w:rsidRPr="00166622" w14:paraId="074D0838" w14:textId="77777777" w:rsidTr="00453A1F">
        <w:trPr>
          <w:trHeight w:val="288"/>
        </w:trPr>
        <w:tc>
          <w:tcPr>
            <w:tcW w:w="3600" w:type="dxa"/>
          </w:tcPr>
          <w:p w14:paraId="3D17C58E" w14:textId="77777777" w:rsidR="00056AB1" w:rsidRPr="00223952" w:rsidRDefault="00056AB1" w:rsidP="00CC0034">
            <w:pPr>
              <w:pStyle w:val="Table-Head-Left"/>
              <w:spacing w:before="120" w:after="120"/>
              <w:rPr>
                <w:rFonts w:ascii="Arial" w:hAnsi="Arial" w:cs="Arial"/>
              </w:rPr>
            </w:pPr>
            <w:r w:rsidRPr="00223952">
              <w:rPr>
                <w:rFonts w:ascii="Arial" w:hAnsi="Arial" w:cs="Arial"/>
              </w:rPr>
              <w:t>Haphazard sample</w:t>
            </w:r>
          </w:p>
        </w:tc>
        <w:tc>
          <w:tcPr>
            <w:tcW w:w="5760" w:type="dxa"/>
          </w:tcPr>
          <w:p w14:paraId="5402B7AB" w14:textId="77777777" w:rsidR="00056AB1" w:rsidRPr="00223952" w:rsidRDefault="00056AB1" w:rsidP="00CC0034">
            <w:pPr>
              <w:pStyle w:val="Table-Cell-Left"/>
              <w:spacing w:before="120" w:after="120"/>
              <w:rPr>
                <w:rFonts w:ascii="Arial" w:hAnsi="Arial" w:cs="Arial"/>
              </w:rPr>
            </w:pPr>
            <w:r w:rsidRPr="00223952">
              <w:rPr>
                <w:rFonts w:ascii="Arial" w:hAnsi="Arial" w:cs="Arial"/>
              </w:rPr>
              <w:t xml:space="preserve">A sample consisting of sampling units selected without any conscious bias, that is, without any special reason for including or omitting items from the sample. It does not consist of sampling units selected in an arbitrary manner, rather it is selected in a way the auditor expects to be representative of the population. </w:t>
            </w:r>
          </w:p>
        </w:tc>
      </w:tr>
      <w:tr w:rsidR="00056AB1" w:rsidRPr="00166622" w14:paraId="586CB884" w14:textId="77777777" w:rsidTr="00453A1F">
        <w:trPr>
          <w:trHeight w:val="288"/>
        </w:trPr>
        <w:tc>
          <w:tcPr>
            <w:tcW w:w="3600" w:type="dxa"/>
          </w:tcPr>
          <w:p w14:paraId="314111CE" w14:textId="77777777" w:rsidR="00056AB1" w:rsidRPr="00223952" w:rsidRDefault="00056AB1" w:rsidP="00CC0034">
            <w:pPr>
              <w:pStyle w:val="Table-Head-Left"/>
              <w:spacing w:before="120" w:after="120"/>
              <w:rPr>
                <w:rFonts w:ascii="Arial" w:hAnsi="Arial" w:cs="Arial"/>
              </w:rPr>
            </w:pPr>
            <w:r w:rsidRPr="00223952">
              <w:rPr>
                <w:rFonts w:ascii="Arial" w:hAnsi="Arial" w:cs="Arial"/>
              </w:rPr>
              <w:t>Heritage assets</w:t>
            </w:r>
          </w:p>
        </w:tc>
        <w:tc>
          <w:tcPr>
            <w:tcW w:w="5760" w:type="dxa"/>
          </w:tcPr>
          <w:p w14:paraId="2854CDED" w14:textId="77777777" w:rsidR="00056AB1" w:rsidRPr="00223952" w:rsidRDefault="00056AB1" w:rsidP="00CC0034">
            <w:pPr>
              <w:pStyle w:val="Table-Cell-Left"/>
              <w:spacing w:before="120" w:after="120"/>
              <w:rPr>
                <w:rFonts w:ascii="Arial" w:hAnsi="Arial" w:cs="Arial"/>
              </w:rPr>
            </w:pPr>
            <w:r w:rsidRPr="00223952">
              <w:rPr>
                <w:rFonts w:ascii="Arial" w:hAnsi="Arial" w:cs="Arial"/>
              </w:rPr>
              <w:t>Property, plant, and equipment that are unique for one or more of the following reasons: (1) historical or natural significance, (2) cultural, educational, artistic (or aesthetic) importance, or (3) significant architectural characteristics.</w:t>
            </w:r>
          </w:p>
        </w:tc>
      </w:tr>
      <w:tr w:rsidR="00056AB1" w:rsidRPr="00166622" w14:paraId="6E94C8D2" w14:textId="77777777" w:rsidTr="00453A1F">
        <w:trPr>
          <w:trHeight w:val="288"/>
        </w:trPr>
        <w:tc>
          <w:tcPr>
            <w:tcW w:w="3600" w:type="dxa"/>
          </w:tcPr>
          <w:p w14:paraId="5DEF7B5D" w14:textId="77777777" w:rsidR="00056AB1" w:rsidRPr="00A86F20" w:rsidRDefault="00056AB1" w:rsidP="00CC0034">
            <w:pPr>
              <w:pStyle w:val="Table-Head-Left"/>
              <w:spacing w:before="120" w:after="120"/>
              <w:rPr>
                <w:rFonts w:ascii="Arial" w:hAnsi="Arial" w:cs="Arial"/>
              </w:rPr>
            </w:pPr>
            <w:r w:rsidRPr="00A86F20">
              <w:rPr>
                <w:rFonts w:ascii="Arial" w:hAnsi="Arial" w:cs="Arial"/>
              </w:rPr>
              <w:t>Information and communication</w:t>
            </w:r>
          </w:p>
        </w:tc>
        <w:tc>
          <w:tcPr>
            <w:tcW w:w="5760" w:type="dxa"/>
          </w:tcPr>
          <w:p w14:paraId="475C8FB4" w14:textId="77777777" w:rsidR="00056AB1" w:rsidRPr="00A86F20" w:rsidRDefault="00056AB1" w:rsidP="00CC0034">
            <w:pPr>
              <w:pStyle w:val="Table-Cell-Left"/>
              <w:spacing w:before="120" w:after="120"/>
              <w:rPr>
                <w:rFonts w:ascii="Arial" w:hAnsi="Arial" w:cs="Arial"/>
              </w:rPr>
            </w:pPr>
            <w:r w:rsidRPr="00A86F20">
              <w:rPr>
                <w:rFonts w:ascii="Arial" w:hAnsi="Arial" w:cs="Arial"/>
              </w:rPr>
              <w:t xml:space="preserve">One of the five components of internal control, in addition to control environment, entity risk assessment, control activities, and monitoring. </w:t>
            </w:r>
          </w:p>
          <w:p w14:paraId="4501BBF7" w14:textId="77777777" w:rsidR="00056AB1" w:rsidRPr="00A86F20" w:rsidRDefault="00056AB1" w:rsidP="00CC0034">
            <w:pPr>
              <w:pStyle w:val="FAM-Bullet-1"/>
              <w:numPr>
                <w:ilvl w:val="0"/>
                <w:numId w:val="0"/>
              </w:numPr>
              <w:spacing w:before="120"/>
              <w:rPr>
                <w:rFonts w:ascii="Arial" w:hAnsi="Arial" w:cs="Arial"/>
              </w:rPr>
            </w:pPr>
            <w:r w:rsidRPr="00A86F20">
              <w:rPr>
                <w:rFonts w:ascii="Arial" w:hAnsi="Arial" w:cs="Arial"/>
                <w:bCs/>
              </w:rPr>
              <w:t>Information and communication</w:t>
            </w:r>
            <w:r w:rsidRPr="00A86F20">
              <w:rPr>
                <w:rFonts w:ascii="Arial" w:hAnsi="Arial" w:cs="Arial"/>
              </w:rPr>
              <w:t xml:space="preserve"> systems support the identification, capture, and exchange of information in a form and time frame that enable people to carry out their responsibilities. </w:t>
            </w:r>
          </w:p>
        </w:tc>
      </w:tr>
      <w:tr w:rsidR="00056AB1" w:rsidRPr="00166622" w14:paraId="0E55A051" w14:textId="77777777" w:rsidTr="00453A1F">
        <w:trPr>
          <w:trHeight w:val="288"/>
        </w:trPr>
        <w:tc>
          <w:tcPr>
            <w:tcW w:w="3600" w:type="dxa"/>
          </w:tcPr>
          <w:p w14:paraId="5CE9152D" w14:textId="274CD3FA" w:rsidR="00056AB1" w:rsidRPr="00223952" w:rsidRDefault="00056AB1" w:rsidP="005A47F3">
            <w:pPr>
              <w:pStyle w:val="Table-Head-Left"/>
              <w:spacing w:before="120" w:after="120"/>
              <w:rPr>
                <w:rFonts w:ascii="Arial" w:hAnsi="Arial" w:cs="Arial"/>
              </w:rPr>
            </w:pPr>
            <w:r w:rsidRPr="00223952">
              <w:rPr>
                <w:rFonts w:ascii="Arial" w:hAnsi="Arial" w:cs="Arial"/>
              </w:rPr>
              <w:lastRenderedPageBreak/>
              <w:t xml:space="preserve">Information </w:t>
            </w:r>
            <w:r w:rsidR="005A47F3">
              <w:rPr>
                <w:rFonts w:ascii="Arial" w:hAnsi="Arial" w:cs="Arial"/>
              </w:rPr>
              <w:t>s</w:t>
            </w:r>
            <w:r w:rsidRPr="00223952">
              <w:rPr>
                <w:rFonts w:ascii="Arial" w:hAnsi="Arial" w:cs="Arial"/>
              </w:rPr>
              <w:t>ystem</w:t>
            </w:r>
          </w:p>
        </w:tc>
        <w:tc>
          <w:tcPr>
            <w:tcW w:w="5760" w:type="dxa"/>
          </w:tcPr>
          <w:p w14:paraId="74DE46F8" w14:textId="77777777" w:rsidR="00056AB1" w:rsidRPr="00223952" w:rsidRDefault="00056AB1" w:rsidP="00CC0034">
            <w:pPr>
              <w:pStyle w:val="Table-Cell-Left"/>
              <w:spacing w:before="120" w:after="120"/>
              <w:rPr>
                <w:rFonts w:ascii="Arial" w:hAnsi="Arial" w:cs="Arial"/>
              </w:rPr>
            </w:pPr>
            <w:r w:rsidRPr="00223952">
              <w:rPr>
                <w:rFonts w:ascii="Arial" w:hAnsi="Arial" w:cs="Arial"/>
              </w:rPr>
              <w:t>A discrete set of information resources organized for the collection, processing, maintenance, use, sharing, dissemination,</w:t>
            </w:r>
            <w:r w:rsidR="00223952">
              <w:rPr>
                <w:rFonts w:ascii="Arial" w:hAnsi="Arial" w:cs="Arial"/>
              </w:rPr>
              <w:t xml:space="preserve"> or disposition of information.</w:t>
            </w:r>
          </w:p>
        </w:tc>
      </w:tr>
      <w:tr w:rsidR="00826052" w:rsidRPr="00166622" w14:paraId="50EAEE90" w14:textId="77777777" w:rsidTr="00453A1F">
        <w:trPr>
          <w:trHeight w:val="288"/>
        </w:trPr>
        <w:tc>
          <w:tcPr>
            <w:tcW w:w="3600" w:type="dxa"/>
          </w:tcPr>
          <w:p w14:paraId="05F3FF99" w14:textId="77777777" w:rsidR="00826052" w:rsidRPr="00223952" w:rsidRDefault="00826052" w:rsidP="00826052">
            <w:pPr>
              <w:pStyle w:val="Table-Head-Left"/>
              <w:spacing w:before="120" w:after="120"/>
              <w:rPr>
                <w:rFonts w:ascii="Arial" w:hAnsi="Arial" w:cs="Arial"/>
              </w:rPr>
            </w:pPr>
            <w:r w:rsidRPr="00223952">
              <w:rPr>
                <w:rFonts w:ascii="Arial" w:hAnsi="Arial" w:cs="Arial"/>
              </w:rPr>
              <w:t>Information system</w:t>
            </w:r>
            <w:r>
              <w:rPr>
                <w:rFonts w:ascii="Arial" w:hAnsi="Arial" w:cs="Arial"/>
              </w:rPr>
              <w:t xml:space="preserve"> </w:t>
            </w:r>
            <w:r w:rsidRPr="00223952">
              <w:rPr>
                <w:rFonts w:ascii="Arial" w:hAnsi="Arial" w:cs="Arial"/>
              </w:rPr>
              <w:t>controls</w:t>
            </w:r>
          </w:p>
        </w:tc>
        <w:tc>
          <w:tcPr>
            <w:tcW w:w="5760" w:type="dxa"/>
          </w:tcPr>
          <w:p w14:paraId="7CA13E96" w14:textId="744C013A" w:rsidR="00826052" w:rsidRPr="00223952" w:rsidRDefault="00826052" w:rsidP="001578F9">
            <w:pPr>
              <w:pStyle w:val="Table-Cell-Left"/>
              <w:spacing w:before="120" w:after="120"/>
              <w:rPr>
                <w:rFonts w:ascii="Arial" w:hAnsi="Arial" w:cs="Arial"/>
              </w:rPr>
            </w:pPr>
            <w:r w:rsidRPr="00223952">
              <w:rPr>
                <w:rFonts w:ascii="Arial" w:hAnsi="Arial" w:cs="Arial"/>
              </w:rPr>
              <w:t>Internal controls that are dependent on information systems processing and include general controls (entitywide, system, and application levels), application controls (input, processing, output, master file, interface, and data management system controls), and user controls (controls performed by people interacting with information systems).</w:t>
            </w:r>
          </w:p>
        </w:tc>
      </w:tr>
      <w:tr w:rsidR="00826052" w:rsidRPr="00166622" w14:paraId="1BF836ED" w14:textId="77777777" w:rsidTr="00291714">
        <w:trPr>
          <w:trHeight w:val="1638"/>
        </w:trPr>
        <w:tc>
          <w:tcPr>
            <w:tcW w:w="3600" w:type="dxa"/>
          </w:tcPr>
          <w:p w14:paraId="5FCEDDB5" w14:textId="55664813" w:rsidR="00826052" w:rsidRDefault="00826052" w:rsidP="00826052">
            <w:pPr>
              <w:pStyle w:val="Table-Head-Left"/>
              <w:spacing w:before="120" w:after="120"/>
              <w:rPr>
                <w:rFonts w:ascii="Arial" w:hAnsi="Arial" w:cs="Arial"/>
              </w:rPr>
            </w:pPr>
            <w:r w:rsidRPr="00223952">
              <w:rPr>
                <w:rFonts w:ascii="Arial" w:hAnsi="Arial" w:cs="Arial"/>
              </w:rPr>
              <w:t xml:space="preserve">Information </w:t>
            </w:r>
            <w:r>
              <w:rPr>
                <w:rFonts w:ascii="Arial" w:hAnsi="Arial" w:cs="Arial"/>
              </w:rPr>
              <w:t xml:space="preserve">system </w:t>
            </w:r>
            <w:r w:rsidRPr="00223952">
              <w:rPr>
                <w:rFonts w:ascii="Arial" w:hAnsi="Arial" w:cs="Arial"/>
              </w:rPr>
              <w:t xml:space="preserve"> controls </w:t>
            </w:r>
            <w:r>
              <w:rPr>
                <w:rFonts w:ascii="Arial" w:hAnsi="Arial" w:cs="Arial"/>
              </w:rPr>
              <w:t>auditor</w:t>
            </w:r>
          </w:p>
          <w:p w14:paraId="1E1C48F7" w14:textId="77777777" w:rsidR="00765BEC" w:rsidRPr="00223952" w:rsidRDefault="00765BEC" w:rsidP="00826052">
            <w:pPr>
              <w:pStyle w:val="Table-Head-Left"/>
              <w:spacing w:before="120" w:after="120"/>
              <w:rPr>
                <w:rFonts w:ascii="Arial" w:hAnsi="Arial" w:cs="Arial"/>
              </w:rPr>
            </w:pPr>
          </w:p>
        </w:tc>
        <w:tc>
          <w:tcPr>
            <w:tcW w:w="5760" w:type="dxa"/>
          </w:tcPr>
          <w:p w14:paraId="3E27E7E6" w14:textId="13C98E6F" w:rsidR="00765BEC" w:rsidRPr="00223952" w:rsidRDefault="00826052" w:rsidP="00826052">
            <w:pPr>
              <w:pStyle w:val="Table-Cell-Left"/>
              <w:spacing w:before="120" w:after="120"/>
              <w:rPr>
                <w:rFonts w:ascii="Arial" w:hAnsi="Arial" w:cs="Arial"/>
              </w:rPr>
            </w:pPr>
            <w:r w:rsidRPr="00223952">
              <w:rPr>
                <w:rFonts w:ascii="Arial" w:hAnsi="Arial" w:cs="Arial"/>
              </w:rPr>
              <w:t>A person with technical expertise in information technology systems, general controls, applications, and information security.</w:t>
            </w:r>
            <w:r w:rsidRPr="00223952" w:rsidDel="00007EFD">
              <w:rPr>
                <w:rFonts w:ascii="Arial" w:hAnsi="Arial" w:cs="Arial"/>
              </w:rPr>
              <w:t xml:space="preserve"> </w:t>
            </w:r>
            <w:r w:rsidRPr="005D76FF">
              <w:rPr>
                <w:rFonts w:ascii="Arial" w:hAnsi="Arial" w:cs="Arial"/>
              </w:rPr>
              <w:t xml:space="preserve">This person is involved with the planning, directing, or performing of audit procedures related to </w:t>
            </w:r>
            <w:r w:rsidR="00793B6C">
              <w:rPr>
                <w:rFonts w:ascii="Arial" w:hAnsi="Arial" w:cs="Arial"/>
              </w:rPr>
              <w:t xml:space="preserve">assessing </w:t>
            </w:r>
            <w:r w:rsidR="00D72A1A">
              <w:rPr>
                <w:rFonts w:ascii="Arial" w:hAnsi="Arial" w:cs="Arial"/>
              </w:rPr>
              <w:t>information system</w:t>
            </w:r>
            <w:r w:rsidRPr="005D76FF">
              <w:rPr>
                <w:rFonts w:ascii="Arial" w:hAnsi="Arial" w:cs="Arial"/>
              </w:rPr>
              <w:t xml:space="preserve"> controls.</w:t>
            </w:r>
          </w:p>
        </w:tc>
      </w:tr>
      <w:tr w:rsidR="007D03FA" w:rsidRPr="00166622" w14:paraId="298CD638" w14:textId="77777777" w:rsidTr="00AC0FCA">
        <w:trPr>
          <w:trHeight w:val="810"/>
        </w:trPr>
        <w:tc>
          <w:tcPr>
            <w:tcW w:w="3600" w:type="dxa"/>
          </w:tcPr>
          <w:p w14:paraId="26995728" w14:textId="0F62FE4F" w:rsidR="007D03FA" w:rsidRPr="00223952" w:rsidRDefault="007D03FA" w:rsidP="007D03FA">
            <w:pPr>
              <w:pStyle w:val="Table-Head-Left"/>
              <w:spacing w:before="120" w:after="120"/>
              <w:rPr>
                <w:rFonts w:ascii="Arial" w:hAnsi="Arial" w:cs="Arial"/>
              </w:rPr>
            </w:pPr>
            <w:r w:rsidRPr="00223952">
              <w:rPr>
                <w:rFonts w:ascii="Arial" w:hAnsi="Arial" w:cs="Arial"/>
              </w:rPr>
              <w:t xml:space="preserve">Information </w:t>
            </w:r>
            <w:r>
              <w:rPr>
                <w:rFonts w:ascii="Arial" w:hAnsi="Arial" w:cs="Arial"/>
              </w:rPr>
              <w:t xml:space="preserve">system </w:t>
            </w:r>
            <w:r w:rsidRPr="00223952">
              <w:rPr>
                <w:rFonts w:ascii="Arial" w:hAnsi="Arial" w:cs="Arial"/>
              </w:rPr>
              <w:t xml:space="preserve"> </w:t>
            </w:r>
            <w:r>
              <w:rPr>
                <w:rFonts w:ascii="Arial" w:hAnsi="Arial" w:cs="Arial"/>
              </w:rPr>
              <w:t>processing</w:t>
            </w:r>
          </w:p>
        </w:tc>
        <w:tc>
          <w:tcPr>
            <w:tcW w:w="5760" w:type="dxa"/>
          </w:tcPr>
          <w:p w14:paraId="63B172C5" w14:textId="63F42919" w:rsidR="007D03FA" w:rsidRPr="00223952" w:rsidRDefault="00464B6D" w:rsidP="007D03FA">
            <w:pPr>
              <w:pStyle w:val="Table-Cell-Left"/>
              <w:spacing w:before="120" w:after="120"/>
              <w:rPr>
                <w:rFonts w:ascii="Arial" w:hAnsi="Arial" w:cs="Arial"/>
              </w:rPr>
            </w:pPr>
            <w:r>
              <w:rPr>
                <w:rFonts w:ascii="Arial" w:hAnsi="Arial" w:cs="Arial"/>
              </w:rPr>
              <w:t xml:space="preserve">Processing performed by information systems through the use of information technology. </w:t>
            </w:r>
            <w:r w:rsidR="007D03FA" w:rsidRPr="00223952">
              <w:rPr>
                <w:rFonts w:ascii="Arial" w:hAnsi="Arial" w:cs="Arial"/>
              </w:rPr>
              <w:t xml:space="preserve"> </w:t>
            </w:r>
          </w:p>
        </w:tc>
      </w:tr>
      <w:tr w:rsidR="007D03FA" w:rsidRPr="00166622" w14:paraId="37F7FD4E" w14:textId="77777777" w:rsidTr="00453A1F">
        <w:trPr>
          <w:trHeight w:val="288"/>
        </w:trPr>
        <w:tc>
          <w:tcPr>
            <w:tcW w:w="3600" w:type="dxa"/>
          </w:tcPr>
          <w:p w14:paraId="1B02F657" w14:textId="77777777" w:rsidR="007D03FA" w:rsidRPr="00223952" w:rsidRDefault="007D03FA" w:rsidP="007D03FA">
            <w:pPr>
              <w:pStyle w:val="Table-Head-Left"/>
              <w:spacing w:before="120" w:after="120"/>
              <w:rPr>
                <w:rFonts w:ascii="Arial" w:hAnsi="Arial" w:cs="Arial"/>
              </w:rPr>
            </w:pPr>
            <w:r>
              <w:rPr>
                <w:rFonts w:ascii="Arial" w:hAnsi="Arial" w:cs="Arial"/>
              </w:rPr>
              <w:t>Information technology specialist</w:t>
            </w:r>
          </w:p>
        </w:tc>
        <w:tc>
          <w:tcPr>
            <w:tcW w:w="5760" w:type="dxa"/>
          </w:tcPr>
          <w:p w14:paraId="5BB132D5" w14:textId="45751C3D" w:rsidR="007D03FA" w:rsidRPr="00223952" w:rsidRDefault="007D03FA" w:rsidP="007D03FA">
            <w:pPr>
              <w:pStyle w:val="Table-Cell-Left"/>
              <w:spacing w:before="120" w:after="120"/>
              <w:rPr>
                <w:rFonts w:ascii="Arial" w:hAnsi="Arial" w:cs="Arial"/>
              </w:rPr>
            </w:pPr>
            <w:r>
              <w:rPr>
                <w:rFonts w:ascii="Arial" w:hAnsi="Arial" w:cs="Arial"/>
              </w:rPr>
              <w:t>A person possessing special skills or knowledge in the information technology field that extend beyond the skills and knowledge normally possessed by those working in specialize</w:t>
            </w:r>
            <w:r w:rsidR="00D72A1A">
              <w:rPr>
                <w:rFonts w:ascii="Arial" w:hAnsi="Arial" w:cs="Arial"/>
              </w:rPr>
              <w:t>d fields of auditing, such as information system</w:t>
            </w:r>
            <w:r>
              <w:rPr>
                <w:rFonts w:ascii="Arial" w:hAnsi="Arial" w:cs="Arial"/>
              </w:rPr>
              <w:t xml:space="preserve"> controls auditing.</w:t>
            </w:r>
          </w:p>
        </w:tc>
      </w:tr>
      <w:tr w:rsidR="007D03FA" w:rsidRPr="00166622" w14:paraId="581B8DD0" w14:textId="77777777" w:rsidTr="00453A1F">
        <w:trPr>
          <w:trHeight w:val="288"/>
        </w:trPr>
        <w:tc>
          <w:tcPr>
            <w:tcW w:w="3600" w:type="dxa"/>
          </w:tcPr>
          <w:p w14:paraId="3FBD70B4" w14:textId="77777777" w:rsidR="007D03FA" w:rsidRPr="00223952" w:rsidRDefault="007D03FA" w:rsidP="007D03FA">
            <w:pPr>
              <w:pStyle w:val="Table-Head-Left"/>
              <w:spacing w:before="120" w:after="120"/>
              <w:rPr>
                <w:rFonts w:ascii="Arial" w:hAnsi="Arial" w:cs="Arial"/>
              </w:rPr>
            </w:pPr>
            <w:r w:rsidRPr="00223952">
              <w:rPr>
                <w:rFonts w:ascii="Arial" w:hAnsi="Arial" w:cs="Arial"/>
              </w:rPr>
              <w:t>Inherent risk</w:t>
            </w:r>
          </w:p>
        </w:tc>
        <w:tc>
          <w:tcPr>
            <w:tcW w:w="5760" w:type="dxa"/>
          </w:tcPr>
          <w:p w14:paraId="61997B49" w14:textId="77777777" w:rsidR="007D03FA" w:rsidRPr="00223952" w:rsidRDefault="007D03FA" w:rsidP="007D03FA">
            <w:pPr>
              <w:pStyle w:val="Table-Cell-Left"/>
              <w:spacing w:before="120" w:after="120"/>
              <w:rPr>
                <w:rFonts w:ascii="Arial" w:hAnsi="Arial" w:cs="Arial"/>
              </w:rPr>
            </w:pPr>
            <w:r w:rsidRPr="00223952">
              <w:rPr>
                <w:rFonts w:ascii="Arial" w:hAnsi="Arial" w:cs="Arial"/>
              </w:rPr>
              <w:t>The susceptibility of an assertion about a class of transaction, account balance, or disclosure to a misstatement that could be material, either individually or when aggregated with other misstatements, before conside</w:t>
            </w:r>
            <w:r>
              <w:rPr>
                <w:rFonts w:ascii="Arial" w:hAnsi="Arial" w:cs="Arial"/>
              </w:rPr>
              <w:t>ration of any related controls.</w:t>
            </w:r>
          </w:p>
        </w:tc>
      </w:tr>
      <w:tr w:rsidR="007D03FA" w:rsidRPr="00166622" w14:paraId="60BC01C0" w14:textId="77777777" w:rsidTr="00453A1F">
        <w:trPr>
          <w:trHeight w:val="288"/>
        </w:trPr>
        <w:tc>
          <w:tcPr>
            <w:tcW w:w="3600" w:type="dxa"/>
            <w:shd w:val="clear" w:color="auto" w:fill="auto"/>
          </w:tcPr>
          <w:p w14:paraId="341C4CCA" w14:textId="77777777" w:rsidR="007D03FA" w:rsidRPr="00223952" w:rsidRDefault="007D03FA" w:rsidP="007D03FA">
            <w:pPr>
              <w:pStyle w:val="Table-Head-Left"/>
              <w:spacing w:before="120" w:after="120"/>
              <w:rPr>
                <w:rFonts w:ascii="Arial" w:hAnsi="Arial" w:cs="Arial"/>
              </w:rPr>
            </w:pPr>
            <w:r w:rsidRPr="00223952">
              <w:rPr>
                <w:rFonts w:ascii="Arial" w:hAnsi="Arial" w:cs="Arial"/>
              </w:rPr>
              <w:t xml:space="preserve">Integrated audit </w:t>
            </w:r>
          </w:p>
        </w:tc>
        <w:tc>
          <w:tcPr>
            <w:tcW w:w="5760" w:type="dxa"/>
            <w:shd w:val="clear" w:color="auto" w:fill="auto"/>
          </w:tcPr>
          <w:p w14:paraId="3CBAAE43" w14:textId="77777777" w:rsidR="007D03FA" w:rsidRPr="00223952" w:rsidRDefault="007D03FA" w:rsidP="007D03FA">
            <w:pPr>
              <w:pStyle w:val="Table-Cell-Left"/>
              <w:spacing w:before="120" w:after="120"/>
              <w:rPr>
                <w:rFonts w:ascii="Arial" w:hAnsi="Arial" w:cs="Arial"/>
              </w:rPr>
            </w:pPr>
            <w:r w:rsidRPr="00223952">
              <w:rPr>
                <w:rFonts w:ascii="Arial" w:hAnsi="Arial" w:cs="Arial"/>
              </w:rPr>
              <w:t>An audit of internal control over financial reporting that is integrated with an audit of financial statements</w:t>
            </w:r>
          </w:p>
        </w:tc>
      </w:tr>
      <w:tr w:rsidR="007D03FA" w:rsidRPr="00166622" w14:paraId="37098C66" w14:textId="77777777" w:rsidTr="00453A1F">
        <w:trPr>
          <w:trHeight w:val="288"/>
        </w:trPr>
        <w:tc>
          <w:tcPr>
            <w:tcW w:w="3600" w:type="dxa"/>
          </w:tcPr>
          <w:p w14:paraId="279C128B" w14:textId="77777777" w:rsidR="007D03FA" w:rsidRPr="00223952" w:rsidRDefault="007D03FA" w:rsidP="007D03FA">
            <w:pPr>
              <w:pStyle w:val="Table-Head-Left"/>
              <w:spacing w:before="120" w:after="120"/>
              <w:rPr>
                <w:rFonts w:ascii="Arial" w:hAnsi="Arial" w:cs="Arial"/>
              </w:rPr>
            </w:pPr>
            <w:r w:rsidRPr="00223952">
              <w:rPr>
                <w:rFonts w:ascii="Arial" w:hAnsi="Arial" w:cs="Arial"/>
              </w:rPr>
              <w:t>Intent letter</w:t>
            </w:r>
          </w:p>
        </w:tc>
        <w:tc>
          <w:tcPr>
            <w:tcW w:w="5760" w:type="dxa"/>
          </w:tcPr>
          <w:p w14:paraId="298038A3" w14:textId="77777777" w:rsidR="007D03FA" w:rsidRPr="00223952" w:rsidRDefault="007D03FA" w:rsidP="007D03FA">
            <w:pPr>
              <w:pStyle w:val="Table-Cell-Left"/>
              <w:spacing w:before="120" w:after="120"/>
              <w:rPr>
                <w:rFonts w:ascii="Arial" w:hAnsi="Arial" w:cs="Arial"/>
              </w:rPr>
            </w:pPr>
            <w:r w:rsidRPr="00223952">
              <w:rPr>
                <w:rFonts w:ascii="Arial" w:hAnsi="Arial" w:cs="Arial"/>
              </w:rPr>
              <w:t>A letter used by some auditors to acknowledge a congressional request for any type of work.</w:t>
            </w:r>
          </w:p>
        </w:tc>
      </w:tr>
      <w:tr w:rsidR="007D03FA" w:rsidRPr="00166622" w14:paraId="78F04462" w14:textId="77777777" w:rsidTr="00453A1F">
        <w:trPr>
          <w:trHeight w:val="288"/>
        </w:trPr>
        <w:tc>
          <w:tcPr>
            <w:tcW w:w="3600" w:type="dxa"/>
          </w:tcPr>
          <w:p w14:paraId="045BEDF7" w14:textId="77777777" w:rsidR="007D03FA" w:rsidRPr="00867921" w:rsidRDefault="007D03FA" w:rsidP="007D03FA">
            <w:pPr>
              <w:pStyle w:val="Table-Head-Left"/>
              <w:spacing w:before="120" w:after="120"/>
              <w:rPr>
                <w:rFonts w:ascii="Arial" w:hAnsi="Arial" w:cs="Arial"/>
                <w:highlight w:val="yellow"/>
              </w:rPr>
            </w:pPr>
            <w:r w:rsidRPr="00867921">
              <w:rPr>
                <w:rFonts w:ascii="Arial" w:hAnsi="Arial" w:cs="Arial"/>
              </w:rPr>
              <w:t>Inter-entity</w:t>
            </w:r>
          </w:p>
        </w:tc>
        <w:tc>
          <w:tcPr>
            <w:tcW w:w="5760" w:type="dxa"/>
          </w:tcPr>
          <w:p w14:paraId="55C4C617" w14:textId="77777777" w:rsidR="007D03FA" w:rsidRPr="00867921" w:rsidRDefault="007D03FA" w:rsidP="007D03FA">
            <w:pPr>
              <w:pStyle w:val="Table-Cell-Left"/>
              <w:spacing w:before="120" w:after="120"/>
              <w:rPr>
                <w:rFonts w:ascii="Arial" w:hAnsi="Arial" w:cs="Arial"/>
                <w:highlight w:val="yellow"/>
              </w:rPr>
            </w:pPr>
            <w:r w:rsidRPr="00867921">
              <w:rPr>
                <w:rFonts w:ascii="Arial" w:hAnsi="Arial" w:cs="Arial"/>
              </w:rPr>
              <w:t>Activity and balances occurring between federal entities that are trading partners. Inter-entity and intra-entity amounts comprise intragovernmental activity and balances.</w:t>
            </w:r>
          </w:p>
        </w:tc>
      </w:tr>
      <w:tr w:rsidR="007D03FA" w:rsidRPr="00166622" w14:paraId="701BC9E4" w14:textId="77777777" w:rsidTr="00453A1F">
        <w:trPr>
          <w:trHeight w:val="288"/>
        </w:trPr>
        <w:tc>
          <w:tcPr>
            <w:tcW w:w="3600" w:type="dxa"/>
          </w:tcPr>
          <w:p w14:paraId="347C5040" w14:textId="77777777" w:rsidR="007D03FA" w:rsidRPr="00867921" w:rsidRDefault="007D03FA" w:rsidP="007D03FA">
            <w:pPr>
              <w:pStyle w:val="Table-Head-Left"/>
              <w:spacing w:before="120" w:after="120"/>
              <w:rPr>
                <w:rFonts w:ascii="Arial" w:hAnsi="Arial" w:cs="Arial"/>
              </w:rPr>
            </w:pPr>
            <w:r w:rsidRPr="00867921">
              <w:rPr>
                <w:rFonts w:ascii="Arial" w:hAnsi="Arial" w:cs="Arial"/>
              </w:rPr>
              <w:lastRenderedPageBreak/>
              <w:t>Internal audit function</w:t>
            </w:r>
          </w:p>
        </w:tc>
        <w:tc>
          <w:tcPr>
            <w:tcW w:w="5760" w:type="dxa"/>
          </w:tcPr>
          <w:p w14:paraId="201F696A" w14:textId="77777777" w:rsidR="007D03FA" w:rsidRPr="00867921" w:rsidRDefault="007D03FA" w:rsidP="007D03FA">
            <w:pPr>
              <w:pStyle w:val="Table-Cell-Left"/>
              <w:spacing w:before="120" w:after="120"/>
              <w:rPr>
                <w:rFonts w:ascii="Arial" w:hAnsi="Arial" w:cs="Arial"/>
              </w:rPr>
            </w:pPr>
            <w:r w:rsidRPr="00867921">
              <w:rPr>
                <w:rFonts w:ascii="Arial" w:hAnsi="Arial" w:cs="Arial"/>
              </w:rPr>
              <w:t xml:space="preserve">A function of an entity that performs assurance and consulting activities designed to evaluate and improve the effectiveness of the entity’s governance, risk management, </w:t>
            </w:r>
            <w:r>
              <w:rPr>
                <w:rFonts w:ascii="Arial" w:hAnsi="Arial" w:cs="Arial"/>
              </w:rPr>
              <w:t>and internal control processes.</w:t>
            </w:r>
          </w:p>
        </w:tc>
      </w:tr>
      <w:tr w:rsidR="007D03FA" w:rsidRPr="00166622" w14:paraId="2ED5FAD2" w14:textId="77777777" w:rsidTr="00453A1F">
        <w:trPr>
          <w:trHeight w:val="288"/>
        </w:trPr>
        <w:tc>
          <w:tcPr>
            <w:tcW w:w="3600" w:type="dxa"/>
          </w:tcPr>
          <w:p w14:paraId="751D2D7B" w14:textId="77777777" w:rsidR="007D03FA" w:rsidRPr="001A1C51" w:rsidRDefault="007D03FA" w:rsidP="007D03FA">
            <w:pPr>
              <w:pStyle w:val="Table-Head-Left"/>
              <w:spacing w:before="120" w:after="120"/>
              <w:rPr>
                <w:rFonts w:ascii="Arial" w:hAnsi="Arial" w:cs="Arial"/>
              </w:rPr>
            </w:pPr>
            <w:r w:rsidRPr="001A1C51">
              <w:rPr>
                <w:rFonts w:ascii="Arial" w:hAnsi="Arial" w:cs="Arial"/>
              </w:rPr>
              <w:t>Internal control</w:t>
            </w:r>
          </w:p>
        </w:tc>
        <w:tc>
          <w:tcPr>
            <w:tcW w:w="5760" w:type="dxa"/>
          </w:tcPr>
          <w:p w14:paraId="7B66B90C" w14:textId="77777777" w:rsidR="007D03FA" w:rsidRPr="001A1C51" w:rsidRDefault="007D03FA" w:rsidP="007D03FA">
            <w:pPr>
              <w:pStyle w:val="Table-Cell-Left"/>
              <w:spacing w:before="120" w:after="120"/>
              <w:rPr>
                <w:rFonts w:ascii="Arial" w:hAnsi="Arial" w:cs="Arial"/>
              </w:rPr>
            </w:pPr>
            <w:r w:rsidRPr="001A1C51">
              <w:rPr>
                <w:rFonts w:ascii="Arial" w:hAnsi="Arial" w:cs="Arial"/>
              </w:rPr>
              <w:t xml:space="preserve">Internal control is a process effected by oversight body, management, and other personnel that is designed to provide reasonable assurance about the achievement of the entity’s objectives with regard to the reliability of financial reporting, effectiveness and efficiency of operations, and compliance with applicable laws and regulations. </w:t>
            </w:r>
          </w:p>
        </w:tc>
      </w:tr>
      <w:tr w:rsidR="007D03FA" w:rsidRPr="00166622" w14:paraId="40B5FB0E" w14:textId="77777777" w:rsidTr="00453A1F">
        <w:trPr>
          <w:trHeight w:val="288"/>
        </w:trPr>
        <w:tc>
          <w:tcPr>
            <w:tcW w:w="3600" w:type="dxa"/>
          </w:tcPr>
          <w:p w14:paraId="62040EB2" w14:textId="77777777" w:rsidR="007D03FA" w:rsidRPr="001A1C51" w:rsidRDefault="007D03FA" w:rsidP="007D03FA">
            <w:pPr>
              <w:pStyle w:val="Table-Head-Left"/>
              <w:spacing w:before="120" w:after="120"/>
              <w:rPr>
                <w:rFonts w:ascii="Arial" w:hAnsi="Arial" w:cs="Arial"/>
              </w:rPr>
            </w:pPr>
            <w:r>
              <w:rPr>
                <w:rFonts w:ascii="Arial" w:hAnsi="Arial" w:cs="Arial"/>
              </w:rPr>
              <w:t>Internal control phase</w:t>
            </w:r>
          </w:p>
        </w:tc>
        <w:tc>
          <w:tcPr>
            <w:tcW w:w="5760" w:type="dxa"/>
          </w:tcPr>
          <w:p w14:paraId="50B4BCA6" w14:textId="77777777" w:rsidR="007D03FA" w:rsidRPr="001A1C51" w:rsidRDefault="007D03FA" w:rsidP="007D03FA">
            <w:pPr>
              <w:pStyle w:val="Table-Cell-Left"/>
              <w:spacing w:before="120" w:after="120"/>
              <w:rPr>
                <w:rFonts w:ascii="Arial" w:hAnsi="Arial" w:cs="Arial"/>
              </w:rPr>
            </w:pPr>
            <w:r w:rsidRPr="006978F2">
              <w:rPr>
                <w:rFonts w:ascii="Arial" w:hAnsi="Arial" w:cs="Arial"/>
              </w:rPr>
              <w:t xml:space="preserve">This </w:t>
            </w:r>
            <w:r>
              <w:rPr>
                <w:rFonts w:ascii="Arial" w:hAnsi="Arial" w:cs="Arial"/>
              </w:rPr>
              <w:t xml:space="preserve">audit </w:t>
            </w:r>
            <w:r w:rsidRPr="006978F2">
              <w:rPr>
                <w:rFonts w:ascii="Arial" w:hAnsi="Arial" w:cs="Arial"/>
              </w:rPr>
              <w:t>phase entails understanding, testing, and assessing internal control over financial reporting to reach conclusi</w:t>
            </w:r>
            <w:r>
              <w:rPr>
                <w:rFonts w:ascii="Arial" w:hAnsi="Arial" w:cs="Arial"/>
              </w:rPr>
              <w:t xml:space="preserve">ons about the reliability of financial reporting and compliance with </w:t>
            </w:r>
            <w:r w:rsidRPr="009C76F5">
              <w:rPr>
                <w:rFonts w:ascii="Arial" w:hAnsi="Arial" w:cs="Arial"/>
              </w:rPr>
              <w:t>significant provisions of applicable laws, regulations, contracts, and grant agreements</w:t>
            </w:r>
            <w:r>
              <w:rPr>
                <w:rFonts w:ascii="Arial" w:hAnsi="Arial" w:cs="Arial"/>
              </w:rPr>
              <w:t>.</w:t>
            </w:r>
          </w:p>
        </w:tc>
      </w:tr>
      <w:tr w:rsidR="007D03FA" w:rsidRPr="00166622" w14:paraId="32E8E451" w14:textId="77777777" w:rsidTr="00453A1F">
        <w:trPr>
          <w:trHeight w:val="288"/>
        </w:trPr>
        <w:tc>
          <w:tcPr>
            <w:tcW w:w="3600" w:type="dxa"/>
          </w:tcPr>
          <w:p w14:paraId="206D1E41" w14:textId="77777777" w:rsidR="007D03FA" w:rsidRPr="001A1C51" w:rsidRDefault="007D03FA" w:rsidP="007D03FA">
            <w:pPr>
              <w:pStyle w:val="Table-Head-Left"/>
              <w:spacing w:before="120" w:after="120"/>
              <w:rPr>
                <w:rFonts w:ascii="Arial" w:hAnsi="Arial" w:cs="Arial"/>
              </w:rPr>
            </w:pPr>
            <w:r w:rsidRPr="001A1C51">
              <w:rPr>
                <w:rFonts w:ascii="Arial" w:hAnsi="Arial" w:cs="Arial"/>
              </w:rPr>
              <w:t>Internal control over financial reporting</w:t>
            </w:r>
          </w:p>
        </w:tc>
        <w:tc>
          <w:tcPr>
            <w:tcW w:w="5760" w:type="dxa"/>
          </w:tcPr>
          <w:p w14:paraId="152E791C" w14:textId="77777777" w:rsidR="007D03FA" w:rsidRPr="001A1C51" w:rsidRDefault="007D03FA" w:rsidP="007D03FA">
            <w:pPr>
              <w:pStyle w:val="Table-Cell-Left"/>
              <w:spacing w:before="120" w:after="120"/>
              <w:rPr>
                <w:rFonts w:ascii="Arial" w:hAnsi="Arial" w:cs="Arial"/>
              </w:rPr>
            </w:pPr>
            <w:r w:rsidRPr="001A1C51">
              <w:rPr>
                <w:rFonts w:ascii="Arial" w:hAnsi="Arial" w:cs="Arial"/>
              </w:rPr>
              <w:t>A subset of the entity’s internal control and includes reliability of financial statements and compliance with laws, regulations, contracts, and grant agreements.</w:t>
            </w:r>
          </w:p>
        </w:tc>
      </w:tr>
      <w:tr w:rsidR="007D03FA" w:rsidRPr="00166622" w14:paraId="67D19AFF" w14:textId="77777777" w:rsidTr="00453A1F">
        <w:trPr>
          <w:trHeight w:val="288"/>
        </w:trPr>
        <w:tc>
          <w:tcPr>
            <w:tcW w:w="3600" w:type="dxa"/>
          </w:tcPr>
          <w:p w14:paraId="2B8BB34C" w14:textId="77777777" w:rsidR="007D03FA" w:rsidRPr="00166622" w:rsidRDefault="007D03FA" w:rsidP="007D03FA">
            <w:pPr>
              <w:pStyle w:val="Table-Head-Left"/>
              <w:spacing w:before="120" w:after="120"/>
              <w:rPr>
                <w:rFonts w:ascii="Arial" w:hAnsi="Arial" w:cs="Arial"/>
              </w:rPr>
            </w:pPr>
            <w:r w:rsidRPr="00166622">
              <w:rPr>
                <w:rFonts w:ascii="Arial" w:hAnsi="Arial" w:cs="Arial"/>
              </w:rPr>
              <w:t>Intra-entity</w:t>
            </w:r>
          </w:p>
        </w:tc>
        <w:tc>
          <w:tcPr>
            <w:tcW w:w="5760" w:type="dxa"/>
          </w:tcPr>
          <w:p w14:paraId="296A231B" w14:textId="77777777" w:rsidR="007D03FA" w:rsidRPr="001A1C51" w:rsidRDefault="007D03FA" w:rsidP="007D03FA">
            <w:pPr>
              <w:pStyle w:val="Table-Cell-Left"/>
              <w:spacing w:before="120" w:after="120"/>
              <w:rPr>
                <w:rFonts w:ascii="Arial" w:hAnsi="Arial" w:cs="Arial"/>
                <w:color w:val="FF0000"/>
              </w:rPr>
            </w:pPr>
            <w:r w:rsidRPr="00166622">
              <w:rPr>
                <w:rFonts w:ascii="Arial" w:hAnsi="Arial" w:cs="Arial"/>
              </w:rPr>
              <w:t>Activity and balances occurring within a federal entity. Intra-entity and inter-entity amounts comprise Intragovernmental activity and balances</w:t>
            </w:r>
            <w:r w:rsidRPr="00166622">
              <w:rPr>
                <w:rFonts w:ascii="Arial" w:hAnsi="Arial" w:cs="Arial"/>
                <w:color w:val="FF0000"/>
              </w:rPr>
              <w:t>.</w:t>
            </w:r>
          </w:p>
        </w:tc>
      </w:tr>
      <w:tr w:rsidR="007D03FA" w:rsidRPr="00166622" w14:paraId="3BEA1675" w14:textId="77777777" w:rsidTr="00453A1F">
        <w:trPr>
          <w:trHeight w:val="288"/>
        </w:trPr>
        <w:tc>
          <w:tcPr>
            <w:tcW w:w="3600" w:type="dxa"/>
          </w:tcPr>
          <w:p w14:paraId="6F3420D2" w14:textId="77777777" w:rsidR="007D03FA" w:rsidRPr="00867921" w:rsidRDefault="007D03FA" w:rsidP="007D03FA">
            <w:pPr>
              <w:pStyle w:val="Table-Head-Left"/>
              <w:spacing w:before="120" w:after="120"/>
              <w:rPr>
                <w:rFonts w:ascii="Arial" w:hAnsi="Arial" w:cs="Arial"/>
              </w:rPr>
            </w:pPr>
            <w:r w:rsidRPr="00867921">
              <w:rPr>
                <w:rFonts w:ascii="Arial" w:hAnsi="Arial" w:cs="Arial"/>
              </w:rPr>
              <w:t>Intragovernmental amounts</w:t>
            </w:r>
          </w:p>
        </w:tc>
        <w:tc>
          <w:tcPr>
            <w:tcW w:w="5760" w:type="dxa"/>
          </w:tcPr>
          <w:p w14:paraId="3DDBFF9E" w14:textId="77777777" w:rsidR="007D03FA" w:rsidRPr="00867921" w:rsidRDefault="007D03FA" w:rsidP="007D03FA">
            <w:pPr>
              <w:pStyle w:val="Table-Cell-Left"/>
              <w:spacing w:before="120" w:after="120"/>
              <w:rPr>
                <w:rFonts w:ascii="Arial" w:hAnsi="Arial" w:cs="Arial"/>
              </w:rPr>
            </w:pPr>
            <w:r w:rsidRPr="00867921">
              <w:rPr>
                <w:rFonts w:ascii="Arial" w:hAnsi="Arial" w:cs="Arial"/>
              </w:rPr>
              <w:t>Activity and balances occurring within a federal entity (i.e. intra-entity) or between federal entities (i.e. inter-entity).</w:t>
            </w:r>
          </w:p>
        </w:tc>
      </w:tr>
      <w:tr w:rsidR="007D03FA" w:rsidRPr="00166622" w14:paraId="38540143" w14:textId="77777777" w:rsidTr="00453A1F">
        <w:trPr>
          <w:trHeight w:val="288"/>
        </w:trPr>
        <w:tc>
          <w:tcPr>
            <w:tcW w:w="3600" w:type="dxa"/>
          </w:tcPr>
          <w:p w14:paraId="1E6C59FA" w14:textId="77777777" w:rsidR="007D03FA" w:rsidRPr="00867921" w:rsidRDefault="007D03FA" w:rsidP="007D03FA">
            <w:pPr>
              <w:pStyle w:val="Table-Head-Left"/>
              <w:spacing w:before="120" w:after="120"/>
              <w:rPr>
                <w:rFonts w:ascii="Arial" w:hAnsi="Arial" w:cs="Arial"/>
              </w:rPr>
            </w:pPr>
            <w:r w:rsidRPr="00867921">
              <w:rPr>
                <w:rFonts w:ascii="Arial" w:hAnsi="Arial" w:cs="Arial"/>
              </w:rPr>
              <w:t>Intragovernmental Payment and Collection (IPAC)</w:t>
            </w:r>
            <w:r>
              <w:rPr>
                <w:rFonts w:ascii="Arial" w:hAnsi="Arial" w:cs="Arial"/>
              </w:rPr>
              <w:t xml:space="preserve"> </w:t>
            </w:r>
            <w:r w:rsidRPr="00867921">
              <w:rPr>
                <w:rFonts w:ascii="Arial" w:hAnsi="Arial" w:cs="Arial"/>
              </w:rPr>
              <w:t xml:space="preserve">system </w:t>
            </w:r>
          </w:p>
        </w:tc>
        <w:tc>
          <w:tcPr>
            <w:tcW w:w="5760" w:type="dxa"/>
          </w:tcPr>
          <w:p w14:paraId="3DC48CA2" w14:textId="77777777" w:rsidR="007D03FA" w:rsidRPr="00867921" w:rsidRDefault="007D03FA" w:rsidP="007D03FA">
            <w:pPr>
              <w:pStyle w:val="Table-Cell-Left"/>
              <w:spacing w:before="120" w:after="120"/>
              <w:rPr>
                <w:rFonts w:ascii="Arial" w:hAnsi="Arial" w:cs="Arial"/>
              </w:rPr>
            </w:pPr>
            <w:r w:rsidRPr="00867921">
              <w:rPr>
                <w:rFonts w:ascii="Arial" w:hAnsi="Arial" w:cs="Arial"/>
              </w:rPr>
              <w:t>The primary method used by most federal entities to electronically bill and/or pay for services and supplies within the U.S. government. IPAC is used to communicate between the Treasury and the trading partner entities that the online billing and/or payment for services and supplies has occurred.</w:t>
            </w:r>
          </w:p>
        </w:tc>
      </w:tr>
      <w:tr w:rsidR="007D03FA" w:rsidRPr="00166622" w14:paraId="684D8F6C" w14:textId="77777777" w:rsidTr="00453A1F">
        <w:trPr>
          <w:trHeight w:val="288"/>
        </w:trPr>
        <w:tc>
          <w:tcPr>
            <w:tcW w:w="3600" w:type="dxa"/>
          </w:tcPr>
          <w:p w14:paraId="09C13C16" w14:textId="77777777" w:rsidR="007D03FA" w:rsidRPr="00867921" w:rsidRDefault="007D03FA" w:rsidP="007D03FA">
            <w:pPr>
              <w:pStyle w:val="Table-Head-Left"/>
              <w:spacing w:before="120" w:after="120"/>
              <w:rPr>
                <w:rFonts w:ascii="Arial" w:hAnsi="Arial" w:cs="Arial"/>
              </w:rPr>
            </w:pPr>
            <w:r>
              <w:rPr>
                <w:rFonts w:ascii="Arial" w:hAnsi="Arial" w:cs="Arial"/>
              </w:rPr>
              <w:t>Iron curtain approach</w:t>
            </w:r>
          </w:p>
        </w:tc>
        <w:tc>
          <w:tcPr>
            <w:tcW w:w="5760" w:type="dxa"/>
          </w:tcPr>
          <w:p w14:paraId="552ADC2D" w14:textId="2A366044" w:rsidR="007D03FA" w:rsidRPr="00867921" w:rsidRDefault="007D03FA" w:rsidP="000564EC">
            <w:pPr>
              <w:pStyle w:val="Table-Cell-Left"/>
              <w:spacing w:before="120" w:after="120"/>
              <w:rPr>
                <w:rFonts w:ascii="Arial" w:hAnsi="Arial" w:cs="Arial"/>
              </w:rPr>
            </w:pPr>
            <w:r>
              <w:rPr>
                <w:rFonts w:ascii="Arial" w:hAnsi="Arial" w:cs="Arial"/>
              </w:rPr>
              <w:t xml:space="preserve">An approach used to evaluate misstatements. This approach </w:t>
            </w:r>
            <w:r w:rsidRPr="008C18EA">
              <w:rPr>
                <w:rFonts w:ascii="Arial" w:hAnsi="Arial" w:cs="Arial"/>
              </w:rPr>
              <w:t>quantifies a misstatement based on the effects of correcting the misstatement existing in the balance sheet at the end of the current year, irrespective of the misstatement’s year of origination</w:t>
            </w:r>
            <w:r>
              <w:rPr>
                <w:rFonts w:ascii="Arial" w:hAnsi="Arial" w:cs="Arial"/>
              </w:rPr>
              <w:t>.</w:t>
            </w:r>
          </w:p>
        </w:tc>
      </w:tr>
      <w:tr w:rsidR="007D03FA" w:rsidRPr="00166622" w14:paraId="113D4EF5" w14:textId="77777777" w:rsidTr="00453A1F">
        <w:trPr>
          <w:trHeight w:val="288"/>
        </w:trPr>
        <w:tc>
          <w:tcPr>
            <w:tcW w:w="3600" w:type="dxa"/>
          </w:tcPr>
          <w:p w14:paraId="028423B7" w14:textId="77777777" w:rsidR="007D03FA" w:rsidRPr="00867921" w:rsidRDefault="007D03FA" w:rsidP="007D03FA">
            <w:pPr>
              <w:pStyle w:val="Table-Head-Left"/>
              <w:spacing w:before="120" w:after="120"/>
              <w:rPr>
                <w:rFonts w:ascii="Arial" w:hAnsi="Arial" w:cs="Arial"/>
              </w:rPr>
            </w:pPr>
            <w:r w:rsidRPr="00867921">
              <w:rPr>
                <w:rFonts w:ascii="Arial" w:hAnsi="Arial" w:cs="Arial"/>
              </w:rPr>
              <w:lastRenderedPageBreak/>
              <w:t>Joint Financial Management Improvement Program (JFMIP)</w:t>
            </w:r>
          </w:p>
        </w:tc>
        <w:tc>
          <w:tcPr>
            <w:tcW w:w="5760" w:type="dxa"/>
          </w:tcPr>
          <w:p w14:paraId="225AD22A" w14:textId="77777777" w:rsidR="007D03FA" w:rsidRPr="00867921" w:rsidRDefault="007D03FA" w:rsidP="007D03FA">
            <w:pPr>
              <w:pStyle w:val="Table-Cell-Left"/>
              <w:spacing w:before="120" w:after="120"/>
              <w:rPr>
                <w:rFonts w:ascii="Arial" w:hAnsi="Arial" w:cs="Arial"/>
              </w:rPr>
            </w:pPr>
            <w:r w:rsidRPr="00867921">
              <w:rPr>
                <w:rFonts w:ascii="Arial" w:hAnsi="Arial" w:cs="Arial"/>
              </w:rPr>
              <w:t>The original source of governmentwide requirements for financial management systems software functionality that describes the basic elements of an integrated financial management system (including the core financial system). These requirements are now issued by OMB. This former joint undertaking consisted of the U.S. Department of the Treasury, the U.S. Government Accountability Office (GAO), the Office of Management and Budget (OMB), and the Office o</w:t>
            </w:r>
            <w:r>
              <w:rPr>
                <w:rFonts w:ascii="Arial" w:hAnsi="Arial" w:cs="Arial"/>
              </w:rPr>
              <w:t xml:space="preserve">f Personnel Management (OPM).  </w:t>
            </w:r>
          </w:p>
        </w:tc>
      </w:tr>
      <w:tr w:rsidR="007D03FA" w:rsidRPr="00166622" w14:paraId="2055849D" w14:textId="77777777" w:rsidTr="00453A1F">
        <w:trPr>
          <w:trHeight w:val="288"/>
        </w:trPr>
        <w:tc>
          <w:tcPr>
            <w:tcW w:w="3600" w:type="dxa"/>
            <w:shd w:val="clear" w:color="auto" w:fill="auto"/>
          </w:tcPr>
          <w:p w14:paraId="780AD23C" w14:textId="77777777" w:rsidR="007D03FA" w:rsidRPr="00867921" w:rsidRDefault="007D03FA" w:rsidP="007D03FA">
            <w:pPr>
              <w:pStyle w:val="Table-Head-Left"/>
              <w:spacing w:before="120" w:after="120"/>
              <w:rPr>
                <w:rFonts w:ascii="Arial" w:hAnsi="Arial" w:cs="Arial"/>
              </w:rPr>
            </w:pPr>
            <w:r w:rsidRPr="00867921">
              <w:rPr>
                <w:rFonts w:ascii="Arial" w:hAnsi="Arial" w:cs="Arial"/>
              </w:rPr>
              <w:t>Judgment fund</w:t>
            </w:r>
          </w:p>
        </w:tc>
        <w:tc>
          <w:tcPr>
            <w:tcW w:w="5760" w:type="dxa"/>
          </w:tcPr>
          <w:p w14:paraId="523041B4" w14:textId="77777777" w:rsidR="007D03FA" w:rsidRPr="00867921" w:rsidRDefault="007D03FA" w:rsidP="007D03FA">
            <w:pPr>
              <w:pStyle w:val="Table-Cell-Left"/>
              <w:spacing w:before="120" w:after="120"/>
              <w:rPr>
                <w:rFonts w:ascii="Arial" w:hAnsi="Arial" w:cs="Arial"/>
              </w:rPr>
            </w:pPr>
            <w:r w:rsidRPr="00867921">
              <w:rPr>
                <w:rFonts w:ascii="Arial" w:hAnsi="Arial" w:cs="Arial"/>
              </w:rPr>
              <w:t>A permanent and indefinite appropriation administered by the Department of the Treasury that is available to pay judgments, settlement agreements, and certain types of administrative awards against the United States when such payment is not otherwise provided for in entity appropriations.</w:t>
            </w:r>
          </w:p>
        </w:tc>
      </w:tr>
      <w:tr w:rsidR="007D03FA" w:rsidRPr="00166622" w14:paraId="1E01803C" w14:textId="77777777" w:rsidTr="00453A1F">
        <w:trPr>
          <w:trHeight w:val="288"/>
        </w:trPr>
        <w:tc>
          <w:tcPr>
            <w:tcW w:w="3600" w:type="dxa"/>
            <w:shd w:val="clear" w:color="auto" w:fill="auto"/>
          </w:tcPr>
          <w:p w14:paraId="0BCD35EF" w14:textId="77777777" w:rsidR="007D03FA" w:rsidRPr="005A297D" w:rsidRDefault="007D03FA" w:rsidP="007D03FA">
            <w:pPr>
              <w:pStyle w:val="Table-Head-Left"/>
              <w:spacing w:before="120" w:after="120"/>
              <w:rPr>
                <w:rFonts w:ascii="Arial" w:hAnsi="Arial" w:cs="Arial"/>
              </w:rPr>
            </w:pPr>
            <w:r w:rsidRPr="005A297D">
              <w:rPr>
                <w:rFonts w:ascii="Arial" w:hAnsi="Arial" w:cs="Arial"/>
              </w:rPr>
              <w:t>Judgmental misstatement</w:t>
            </w:r>
          </w:p>
          <w:p w14:paraId="5A9ABC75" w14:textId="77777777" w:rsidR="007D03FA" w:rsidRPr="005A297D" w:rsidRDefault="007D03FA" w:rsidP="007D03FA">
            <w:pPr>
              <w:pStyle w:val="Table-Head-Left"/>
              <w:spacing w:before="120" w:after="120"/>
              <w:rPr>
                <w:rFonts w:ascii="Arial" w:hAnsi="Arial" w:cs="Arial"/>
              </w:rPr>
            </w:pPr>
          </w:p>
        </w:tc>
        <w:tc>
          <w:tcPr>
            <w:tcW w:w="5760" w:type="dxa"/>
            <w:shd w:val="clear" w:color="auto" w:fill="auto"/>
          </w:tcPr>
          <w:p w14:paraId="7D3CBBE7" w14:textId="77777777" w:rsidR="007D03FA" w:rsidRPr="005A297D" w:rsidRDefault="007D03FA" w:rsidP="007D03FA">
            <w:pPr>
              <w:pStyle w:val="Table-Cell-Left"/>
              <w:spacing w:before="120" w:after="120"/>
              <w:rPr>
                <w:rFonts w:ascii="Arial" w:hAnsi="Arial" w:cs="Arial"/>
              </w:rPr>
            </w:pPr>
            <w:r w:rsidRPr="005A297D">
              <w:rPr>
                <w:rFonts w:ascii="Arial" w:hAnsi="Arial" w:cs="Arial"/>
              </w:rPr>
              <w:t>Misstatements arising from the judgments of management concerning accounting estimates that the auditor considers unreasonable or the selection of accounting policies that the auditor considers inappropriate.</w:t>
            </w:r>
          </w:p>
        </w:tc>
      </w:tr>
      <w:tr w:rsidR="007D03FA" w:rsidRPr="00166622" w14:paraId="1E02BC39" w14:textId="77777777" w:rsidTr="00453A1F">
        <w:trPr>
          <w:trHeight w:val="288"/>
        </w:trPr>
        <w:tc>
          <w:tcPr>
            <w:tcW w:w="3600" w:type="dxa"/>
            <w:shd w:val="clear" w:color="auto" w:fill="auto"/>
          </w:tcPr>
          <w:p w14:paraId="3AA14641" w14:textId="77777777" w:rsidR="007D03FA" w:rsidRPr="00CC0034" w:rsidRDefault="007D03FA" w:rsidP="007D03FA">
            <w:pPr>
              <w:pStyle w:val="Table-Head-Left"/>
              <w:spacing w:before="120" w:after="120"/>
              <w:rPr>
                <w:rFonts w:ascii="Arial" w:hAnsi="Arial" w:cs="Arial"/>
              </w:rPr>
            </w:pPr>
            <w:r w:rsidRPr="00CC0034">
              <w:rPr>
                <w:rFonts w:ascii="Arial" w:hAnsi="Arial" w:cs="Arial"/>
              </w:rPr>
              <w:t>Limit</w:t>
            </w:r>
          </w:p>
        </w:tc>
        <w:tc>
          <w:tcPr>
            <w:tcW w:w="5760" w:type="dxa"/>
            <w:shd w:val="clear" w:color="auto" w:fill="auto"/>
          </w:tcPr>
          <w:p w14:paraId="5810F7E4" w14:textId="77777777" w:rsidR="007D03FA" w:rsidRPr="00CC0034" w:rsidRDefault="007D03FA" w:rsidP="007D03FA">
            <w:pPr>
              <w:pStyle w:val="Table-Cell-Left"/>
              <w:spacing w:before="120" w:after="120"/>
              <w:rPr>
                <w:rFonts w:ascii="Arial" w:hAnsi="Arial" w:cs="Arial"/>
              </w:rPr>
            </w:pPr>
            <w:r w:rsidRPr="00CC0034">
              <w:rPr>
                <w:rFonts w:ascii="Arial" w:hAnsi="Arial" w:cs="Arial"/>
              </w:rPr>
              <w:t>Used in performing substantive analytical procedures, the limit is the amount of difference between the expected and the recorded amount that the auditor will accept without investigation.</w:t>
            </w:r>
          </w:p>
        </w:tc>
      </w:tr>
      <w:tr w:rsidR="007D03FA" w:rsidRPr="00166622" w14:paraId="7833289C" w14:textId="77777777" w:rsidTr="00453A1F">
        <w:trPr>
          <w:trHeight w:val="288"/>
        </w:trPr>
        <w:tc>
          <w:tcPr>
            <w:tcW w:w="3600" w:type="dxa"/>
            <w:shd w:val="clear" w:color="auto" w:fill="auto"/>
          </w:tcPr>
          <w:p w14:paraId="69FB9ABD" w14:textId="77777777" w:rsidR="007D03FA" w:rsidRPr="00867921" w:rsidRDefault="007D03FA" w:rsidP="007D03FA">
            <w:pPr>
              <w:pStyle w:val="Table-Head-Left"/>
              <w:spacing w:before="120" w:after="120"/>
              <w:rPr>
                <w:rFonts w:ascii="Arial" w:hAnsi="Arial" w:cs="Arial"/>
              </w:rPr>
            </w:pPr>
            <w:r w:rsidRPr="00867921">
              <w:rPr>
                <w:rFonts w:ascii="Arial" w:hAnsi="Arial" w:cs="Arial"/>
              </w:rPr>
              <w:t>Limitation</w:t>
            </w:r>
          </w:p>
        </w:tc>
        <w:tc>
          <w:tcPr>
            <w:tcW w:w="5760" w:type="dxa"/>
            <w:shd w:val="clear" w:color="auto" w:fill="auto"/>
          </w:tcPr>
          <w:p w14:paraId="746C422A" w14:textId="77777777" w:rsidR="007D03FA" w:rsidRPr="00867921" w:rsidRDefault="007D03FA" w:rsidP="007D03FA">
            <w:pPr>
              <w:pStyle w:val="Table-Cell-Left"/>
              <w:spacing w:before="120" w:after="120"/>
              <w:rPr>
                <w:rFonts w:ascii="Arial" w:hAnsi="Arial" w:cs="Arial"/>
              </w:rPr>
            </w:pPr>
            <w:r w:rsidRPr="00867921">
              <w:rPr>
                <w:rFonts w:ascii="Arial" w:hAnsi="Arial" w:cs="Arial"/>
              </w:rPr>
              <w:t xml:space="preserve">A restriction on the amount, purpose, or period of availability of budget authority. While limitations are most often established through appropriations acts, they may also be established through authorization legislation. Limitations may be placed on the availability of funds for program levels, administrative expenses, direct loan obligations, loan guarantee </w:t>
            </w:r>
            <w:r>
              <w:rPr>
                <w:rFonts w:ascii="Arial" w:hAnsi="Arial" w:cs="Arial"/>
              </w:rPr>
              <w:t>commitments, or other purposes.</w:t>
            </w:r>
          </w:p>
        </w:tc>
      </w:tr>
      <w:tr w:rsidR="007D03FA" w:rsidRPr="00166622" w14:paraId="6C7EDC7D" w14:textId="77777777" w:rsidTr="00453A1F">
        <w:trPr>
          <w:trHeight w:val="288"/>
        </w:trPr>
        <w:tc>
          <w:tcPr>
            <w:tcW w:w="3600" w:type="dxa"/>
          </w:tcPr>
          <w:p w14:paraId="5DA9E37A" w14:textId="77777777" w:rsidR="007D03FA" w:rsidRPr="00867921" w:rsidRDefault="007D03FA" w:rsidP="007D03FA">
            <w:pPr>
              <w:pStyle w:val="Table-Head-Left"/>
              <w:spacing w:before="120" w:after="120"/>
              <w:rPr>
                <w:rFonts w:ascii="Arial" w:hAnsi="Arial" w:cs="Arial"/>
              </w:rPr>
            </w:pPr>
            <w:r>
              <w:rPr>
                <w:rFonts w:ascii="Arial" w:hAnsi="Arial" w:cs="Arial"/>
              </w:rPr>
              <w:t>Line item risk analysis (LIRA)</w:t>
            </w:r>
          </w:p>
        </w:tc>
        <w:tc>
          <w:tcPr>
            <w:tcW w:w="5760" w:type="dxa"/>
          </w:tcPr>
          <w:p w14:paraId="5988B46F" w14:textId="77777777" w:rsidR="007D03FA" w:rsidRPr="00867921" w:rsidRDefault="007D03FA" w:rsidP="007D03FA">
            <w:pPr>
              <w:pStyle w:val="Table-Cell-Left"/>
              <w:spacing w:before="120" w:after="120"/>
              <w:rPr>
                <w:rFonts w:ascii="Arial" w:hAnsi="Arial" w:cs="Arial"/>
              </w:rPr>
            </w:pPr>
            <w:r>
              <w:rPr>
                <w:rFonts w:ascii="Arial" w:hAnsi="Arial" w:cs="Arial"/>
              </w:rPr>
              <w:t xml:space="preserve">A workpaper that </w:t>
            </w:r>
            <w:r w:rsidRPr="0053341B">
              <w:rPr>
                <w:rFonts w:ascii="Arial" w:hAnsi="Arial" w:cs="Arial"/>
              </w:rPr>
              <w:t xml:space="preserve">contains the audit plan for each significant line item and identifies significant line items, assertions, and cycles/accounting applications and the related risks of material misstatement at the relevant assertion level. The auditor should also summarize and document the specific risks of material misstatement, other than </w:t>
            </w:r>
            <w:r w:rsidRPr="0053341B">
              <w:rPr>
                <w:rFonts w:ascii="Arial" w:hAnsi="Arial" w:cs="Arial"/>
              </w:rPr>
              <w:lastRenderedPageBreak/>
              <w:t>pervasive risks, including the inherent, fraud, and control risk factors, for use in determining the nature, extent, and timing of audit procedures.</w:t>
            </w:r>
          </w:p>
        </w:tc>
      </w:tr>
      <w:tr w:rsidR="007D03FA" w:rsidRPr="00166622" w14:paraId="2CCDF25B" w14:textId="77777777" w:rsidTr="00453A1F">
        <w:trPr>
          <w:trHeight w:val="288"/>
        </w:trPr>
        <w:tc>
          <w:tcPr>
            <w:tcW w:w="3600" w:type="dxa"/>
          </w:tcPr>
          <w:p w14:paraId="59DDA344" w14:textId="513A9B64" w:rsidR="007D03FA" w:rsidRPr="00867921" w:rsidRDefault="007D03FA" w:rsidP="00D72A1A">
            <w:pPr>
              <w:pStyle w:val="Table-Head-Left"/>
              <w:spacing w:before="120" w:after="120"/>
              <w:rPr>
                <w:rFonts w:ascii="Arial" w:hAnsi="Arial" w:cs="Arial"/>
              </w:rPr>
            </w:pPr>
            <w:r w:rsidRPr="00867921">
              <w:rPr>
                <w:rFonts w:ascii="Arial" w:hAnsi="Arial" w:cs="Arial"/>
              </w:rPr>
              <w:lastRenderedPageBreak/>
              <w:t xml:space="preserve">Logical </w:t>
            </w:r>
            <w:r w:rsidR="00D72A1A">
              <w:rPr>
                <w:rFonts w:ascii="Arial" w:hAnsi="Arial" w:cs="Arial"/>
              </w:rPr>
              <w:t>u</w:t>
            </w:r>
            <w:r w:rsidRPr="00867921">
              <w:rPr>
                <w:rFonts w:ascii="Arial" w:hAnsi="Arial" w:cs="Arial"/>
              </w:rPr>
              <w:t>nit</w:t>
            </w:r>
          </w:p>
        </w:tc>
        <w:tc>
          <w:tcPr>
            <w:tcW w:w="5760" w:type="dxa"/>
          </w:tcPr>
          <w:p w14:paraId="26CD4B49" w14:textId="77777777" w:rsidR="007D03FA" w:rsidRPr="00867921" w:rsidRDefault="007D03FA" w:rsidP="007D03FA">
            <w:pPr>
              <w:pStyle w:val="Table-Cell-Left"/>
              <w:spacing w:before="120" w:after="120"/>
              <w:rPr>
                <w:rFonts w:ascii="Arial" w:hAnsi="Arial" w:cs="Arial"/>
              </w:rPr>
            </w:pPr>
            <w:r w:rsidRPr="00867921">
              <w:rPr>
                <w:rFonts w:ascii="Arial" w:hAnsi="Arial" w:cs="Arial"/>
              </w:rPr>
              <w:t>The balance or transaction that includes the selected do</w:t>
            </w:r>
            <w:r>
              <w:rPr>
                <w:rFonts w:ascii="Arial" w:hAnsi="Arial" w:cs="Arial"/>
              </w:rPr>
              <w:t>llar in a monetary unit sample.</w:t>
            </w:r>
          </w:p>
        </w:tc>
      </w:tr>
      <w:tr w:rsidR="007D03FA" w:rsidRPr="00166622" w14:paraId="20F17045" w14:textId="77777777" w:rsidTr="00453A1F">
        <w:trPr>
          <w:trHeight w:val="288"/>
        </w:trPr>
        <w:tc>
          <w:tcPr>
            <w:tcW w:w="3600" w:type="dxa"/>
          </w:tcPr>
          <w:p w14:paraId="73D767CB" w14:textId="77777777" w:rsidR="007D03FA" w:rsidRPr="00867921" w:rsidRDefault="007D03FA" w:rsidP="007D03FA">
            <w:pPr>
              <w:pStyle w:val="Table-Head-Left"/>
              <w:spacing w:before="120" w:after="120"/>
              <w:rPr>
                <w:rFonts w:ascii="Arial" w:hAnsi="Arial" w:cs="Arial"/>
              </w:rPr>
            </w:pPr>
            <w:r w:rsidRPr="00867921">
              <w:rPr>
                <w:rFonts w:ascii="Arial" w:hAnsi="Arial" w:cs="Arial"/>
              </w:rPr>
              <w:t>Management</w:t>
            </w:r>
          </w:p>
          <w:p w14:paraId="29B5D5AD" w14:textId="77777777" w:rsidR="007D03FA" w:rsidRPr="00867921" w:rsidRDefault="007D03FA" w:rsidP="007D03FA">
            <w:pPr>
              <w:pStyle w:val="Table-Head-Left"/>
              <w:spacing w:before="120" w:after="120"/>
              <w:rPr>
                <w:rFonts w:ascii="Arial" w:hAnsi="Arial" w:cs="Arial"/>
              </w:rPr>
            </w:pPr>
          </w:p>
        </w:tc>
        <w:tc>
          <w:tcPr>
            <w:tcW w:w="5760" w:type="dxa"/>
          </w:tcPr>
          <w:p w14:paraId="3FD31C4C" w14:textId="77777777" w:rsidR="007D03FA" w:rsidRPr="00867921" w:rsidRDefault="007D03FA" w:rsidP="007D03FA">
            <w:pPr>
              <w:pStyle w:val="FootnoteText"/>
              <w:spacing w:before="120" w:after="120"/>
              <w:rPr>
                <w:rFonts w:ascii="Arial" w:hAnsi="Arial" w:cs="Arial"/>
              </w:rPr>
            </w:pPr>
            <w:r w:rsidRPr="00867921">
              <w:rPr>
                <w:rFonts w:ascii="Arial" w:hAnsi="Arial" w:cs="Arial"/>
                <w:sz w:val="24"/>
                <w:szCs w:val="24"/>
              </w:rPr>
              <w:t>The persons with executive responsibility for the conduct of the entity’s operations. For some entities, management includes some or all of those charged with governance, for example, senior executives.</w:t>
            </w:r>
          </w:p>
        </w:tc>
      </w:tr>
      <w:tr w:rsidR="007D03FA" w:rsidRPr="00166622" w14:paraId="0F2FA54D" w14:textId="77777777" w:rsidTr="00453A1F">
        <w:trPr>
          <w:trHeight w:val="288"/>
        </w:trPr>
        <w:tc>
          <w:tcPr>
            <w:tcW w:w="3600" w:type="dxa"/>
            <w:shd w:val="clear" w:color="auto" w:fill="auto"/>
          </w:tcPr>
          <w:p w14:paraId="696CC6AE" w14:textId="7C6677AB" w:rsidR="007D03FA" w:rsidRPr="00166622" w:rsidRDefault="007D03FA" w:rsidP="00D72A1A">
            <w:pPr>
              <w:pStyle w:val="Table-Head-Left"/>
              <w:spacing w:before="120" w:after="120"/>
              <w:rPr>
                <w:rFonts w:ascii="Arial" w:hAnsi="Arial" w:cs="Arial"/>
                <w:highlight w:val="cyan"/>
              </w:rPr>
            </w:pPr>
            <w:r w:rsidRPr="0002121E">
              <w:rPr>
                <w:rFonts w:ascii="Arial" w:hAnsi="Arial" w:cs="Arial"/>
              </w:rPr>
              <w:t xml:space="preserve">Management’s </w:t>
            </w:r>
            <w:r w:rsidR="00D72A1A">
              <w:rPr>
                <w:rFonts w:ascii="Arial" w:hAnsi="Arial" w:cs="Arial"/>
              </w:rPr>
              <w:t>s</w:t>
            </w:r>
            <w:r w:rsidRPr="0002121E">
              <w:rPr>
                <w:rFonts w:ascii="Arial" w:hAnsi="Arial" w:cs="Arial"/>
              </w:rPr>
              <w:t>pecialist</w:t>
            </w:r>
          </w:p>
        </w:tc>
        <w:tc>
          <w:tcPr>
            <w:tcW w:w="5760" w:type="dxa"/>
            <w:shd w:val="clear" w:color="auto" w:fill="auto"/>
          </w:tcPr>
          <w:p w14:paraId="0D0EE338" w14:textId="77777777" w:rsidR="007D03FA" w:rsidRPr="00867921" w:rsidRDefault="007D03FA" w:rsidP="007D03FA">
            <w:pPr>
              <w:pStyle w:val="Table-Cell-Left"/>
              <w:spacing w:before="120" w:after="120"/>
              <w:rPr>
                <w:rFonts w:ascii="Arial" w:hAnsi="Arial" w:cs="Arial"/>
              </w:rPr>
            </w:pPr>
            <w:r w:rsidRPr="00867921">
              <w:rPr>
                <w:rFonts w:ascii="Arial" w:hAnsi="Arial" w:cs="Arial"/>
              </w:rPr>
              <w:t>An individual or organization possessing expertise in a field other than accounting or auditing, whose work in that field is used by the</w:t>
            </w:r>
            <w:r>
              <w:rPr>
                <w:rFonts w:ascii="Arial" w:hAnsi="Arial" w:cs="Arial"/>
              </w:rPr>
              <w:t xml:space="preserve"> entity to assist the entity in </w:t>
            </w:r>
            <w:r w:rsidRPr="00867921">
              <w:rPr>
                <w:rFonts w:ascii="Arial" w:hAnsi="Arial" w:cs="Arial"/>
              </w:rPr>
              <w:t>preparing the financial statements.</w:t>
            </w:r>
          </w:p>
        </w:tc>
      </w:tr>
      <w:tr w:rsidR="007D03FA" w:rsidRPr="00166622" w14:paraId="36331288" w14:textId="77777777" w:rsidTr="00453A1F">
        <w:trPr>
          <w:trHeight w:val="288"/>
        </w:trPr>
        <w:tc>
          <w:tcPr>
            <w:tcW w:w="3600" w:type="dxa"/>
          </w:tcPr>
          <w:p w14:paraId="31E5392A" w14:textId="77777777" w:rsidR="007D03FA" w:rsidRPr="00867921" w:rsidRDefault="007D03FA" w:rsidP="007D03FA">
            <w:pPr>
              <w:pStyle w:val="Table-Head-Left"/>
              <w:spacing w:before="120" w:after="120"/>
              <w:rPr>
                <w:rFonts w:ascii="Arial" w:hAnsi="Arial" w:cs="Arial"/>
              </w:rPr>
            </w:pPr>
            <w:r w:rsidRPr="00867921">
              <w:rPr>
                <w:rFonts w:ascii="Arial" w:hAnsi="Arial" w:cs="Arial"/>
              </w:rPr>
              <w:t>Materiality</w:t>
            </w:r>
          </w:p>
        </w:tc>
        <w:tc>
          <w:tcPr>
            <w:tcW w:w="5760" w:type="dxa"/>
          </w:tcPr>
          <w:p w14:paraId="41CED0F5" w14:textId="28D97DEC" w:rsidR="007D03FA" w:rsidRPr="00867921" w:rsidRDefault="007D03FA" w:rsidP="007D03FA">
            <w:pPr>
              <w:pStyle w:val="Table-Cell-Left"/>
              <w:spacing w:before="120" w:after="120"/>
              <w:rPr>
                <w:rFonts w:ascii="Arial" w:hAnsi="Arial" w:cs="Arial"/>
              </w:rPr>
            </w:pPr>
            <w:r w:rsidRPr="00867921">
              <w:rPr>
                <w:rFonts w:ascii="Arial" w:hAnsi="Arial" w:cs="Arial"/>
              </w:rPr>
              <w:t xml:space="preserve">The magnitude of an item’s omission or misstatement in a financial statement that, in the light of surrounding circumstances, makes it probable that the judgment of a reasonable person relying on the information would have been changed or influenced by the inclusion or correction of the item (FASB Statement of Financial Concepts No. 2). See </w:t>
            </w:r>
            <w:r>
              <w:rPr>
                <w:rFonts w:ascii="Arial" w:hAnsi="Arial" w:cs="Arial"/>
              </w:rPr>
              <w:t>materiality for the financial statements as a whole, performance</w:t>
            </w:r>
            <w:r w:rsidRPr="00867921">
              <w:rPr>
                <w:rFonts w:ascii="Arial" w:hAnsi="Arial" w:cs="Arial"/>
              </w:rPr>
              <w:t xml:space="preserve"> materiality</w:t>
            </w:r>
            <w:r>
              <w:rPr>
                <w:rFonts w:ascii="Arial" w:hAnsi="Arial" w:cs="Arial"/>
              </w:rPr>
              <w:t>,</w:t>
            </w:r>
            <w:r w:rsidRPr="00867921">
              <w:rPr>
                <w:rFonts w:ascii="Arial" w:hAnsi="Arial" w:cs="Arial"/>
              </w:rPr>
              <w:t xml:space="preserve"> design materiality, and</w:t>
            </w:r>
            <w:r>
              <w:rPr>
                <w:rFonts w:ascii="Arial" w:hAnsi="Arial" w:cs="Arial"/>
              </w:rPr>
              <w:t xml:space="preserve"> tolerable misstatement.</w:t>
            </w:r>
          </w:p>
        </w:tc>
      </w:tr>
      <w:tr w:rsidR="007D03FA" w:rsidRPr="00166622" w14:paraId="12EDC918" w14:textId="77777777" w:rsidTr="00453A1F">
        <w:trPr>
          <w:trHeight w:val="288"/>
        </w:trPr>
        <w:tc>
          <w:tcPr>
            <w:tcW w:w="3600" w:type="dxa"/>
          </w:tcPr>
          <w:p w14:paraId="605AC8D7" w14:textId="77777777" w:rsidR="007D03FA" w:rsidRPr="00867921" w:rsidRDefault="007D03FA" w:rsidP="007D03FA">
            <w:pPr>
              <w:pStyle w:val="Table-Head-Left"/>
              <w:spacing w:before="120" w:after="120"/>
              <w:rPr>
                <w:rFonts w:ascii="Arial" w:hAnsi="Arial" w:cs="Arial"/>
              </w:rPr>
            </w:pPr>
            <w:r>
              <w:rPr>
                <w:rFonts w:ascii="Arial" w:hAnsi="Arial" w:cs="Arial"/>
              </w:rPr>
              <w:t>Materiality benchmark</w:t>
            </w:r>
          </w:p>
        </w:tc>
        <w:tc>
          <w:tcPr>
            <w:tcW w:w="5760" w:type="dxa"/>
          </w:tcPr>
          <w:p w14:paraId="15D7CD5B" w14:textId="77777777" w:rsidR="007D03FA" w:rsidRPr="00867921" w:rsidRDefault="007D03FA" w:rsidP="007D03FA">
            <w:pPr>
              <w:pStyle w:val="Table-Cell-Left"/>
              <w:spacing w:before="120" w:after="120"/>
              <w:rPr>
                <w:rFonts w:ascii="Arial" w:hAnsi="Arial" w:cs="Arial"/>
              </w:rPr>
            </w:pPr>
            <w:r>
              <w:rPr>
                <w:rFonts w:ascii="Arial" w:hAnsi="Arial" w:cs="Arial"/>
              </w:rPr>
              <w:t>T</w:t>
            </w:r>
            <w:r w:rsidRPr="00F737C0">
              <w:rPr>
                <w:rFonts w:ascii="Arial" w:hAnsi="Arial" w:cs="Arial"/>
              </w:rPr>
              <w:t>he element of the financial statements that the auditor judges is most significant to the primary users of the statements</w:t>
            </w:r>
            <w:r>
              <w:rPr>
                <w:rFonts w:ascii="Arial" w:hAnsi="Arial" w:cs="Arial"/>
              </w:rPr>
              <w:t xml:space="preserve">. The basis for which materiality is calculated. </w:t>
            </w:r>
          </w:p>
        </w:tc>
      </w:tr>
      <w:tr w:rsidR="007D03FA" w:rsidRPr="00166622" w14:paraId="5D3D5FD6" w14:textId="77777777" w:rsidTr="00453A1F">
        <w:trPr>
          <w:trHeight w:val="288"/>
        </w:trPr>
        <w:tc>
          <w:tcPr>
            <w:tcW w:w="3600" w:type="dxa"/>
            <w:shd w:val="clear" w:color="auto" w:fill="auto"/>
          </w:tcPr>
          <w:p w14:paraId="47485790" w14:textId="77777777" w:rsidR="007D03FA" w:rsidRPr="00867921" w:rsidRDefault="007D03FA" w:rsidP="007D03FA">
            <w:pPr>
              <w:pStyle w:val="Table-Head-Left"/>
              <w:spacing w:before="120" w:after="120"/>
              <w:rPr>
                <w:rFonts w:ascii="Arial" w:hAnsi="Arial" w:cs="Arial"/>
              </w:rPr>
            </w:pPr>
            <w:r w:rsidRPr="00867921">
              <w:rPr>
                <w:rFonts w:ascii="Arial" w:hAnsi="Arial" w:cs="Arial"/>
              </w:rPr>
              <w:t>Materiality for the financial statements as a whole</w:t>
            </w:r>
          </w:p>
        </w:tc>
        <w:tc>
          <w:tcPr>
            <w:tcW w:w="5760" w:type="dxa"/>
            <w:shd w:val="clear" w:color="auto" w:fill="auto"/>
          </w:tcPr>
          <w:p w14:paraId="3D5411D8" w14:textId="77777777" w:rsidR="007D03FA" w:rsidRPr="00867921" w:rsidRDefault="007D03FA" w:rsidP="007D03FA">
            <w:pPr>
              <w:pStyle w:val="Table-Cell-Left"/>
              <w:spacing w:before="120" w:after="120"/>
              <w:rPr>
                <w:rFonts w:ascii="Arial" w:hAnsi="Arial" w:cs="Arial"/>
              </w:rPr>
            </w:pPr>
            <w:r w:rsidRPr="00867921">
              <w:rPr>
                <w:rFonts w:ascii="Arial" w:hAnsi="Arial" w:cs="Arial"/>
              </w:rPr>
              <w:t>The auditor’s preliminary estimate of materiality in relation to the financial statements taken as a whole</w:t>
            </w:r>
            <w:r>
              <w:rPr>
                <w:rFonts w:ascii="Arial" w:hAnsi="Arial" w:cs="Arial"/>
              </w:rPr>
              <w:t>, primarily based on quantitative measures</w:t>
            </w:r>
            <w:r w:rsidRPr="00867921">
              <w:rPr>
                <w:rFonts w:ascii="Arial" w:hAnsi="Arial" w:cs="Arial"/>
              </w:rPr>
              <w:t xml:space="preserve">. </w:t>
            </w:r>
            <w:r w:rsidRPr="0061486C">
              <w:rPr>
                <w:rFonts w:ascii="Arial" w:hAnsi="Arial" w:cs="Arial"/>
              </w:rPr>
              <w:t>It is used to determine performance materiality, which in turn is used to determine tolerable misstatement. These are then used to determine the risks of material misstatement and the nature, extent, and timing of substantive audit procedures. It is also used to identify significant laws, regulations, contracts, and grant agreements for compliance testing.</w:t>
            </w:r>
          </w:p>
        </w:tc>
      </w:tr>
      <w:tr w:rsidR="007D03FA" w:rsidRPr="00166622" w14:paraId="62E00F57" w14:textId="77777777" w:rsidTr="00453A1F">
        <w:trPr>
          <w:trHeight w:val="288"/>
        </w:trPr>
        <w:tc>
          <w:tcPr>
            <w:tcW w:w="3600" w:type="dxa"/>
          </w:tcPr>
          <w:p w14:paraId="169282D1" w14:textId="3B57F0D9" w:rsidR="007D03FA" w:rsidRPr="00867921" w:rsidRDefault="00D72A1A" w:rsidP="007D03FA">
            <w:pPr>
              <w:pStyle w:val="Table-Head-Left"/>
              <w:spacing w:before="120" w:after="120"/>
              <w:rPr>
                <w:rFonts w:ascii="Arial" w:hAnsi="Arial" w:cs="Arial"/>
              </w:rPr>
            </w:pPr>
            <w:r>
              <w:rPr>
                <w:rFonts w:ascii="Arial" w:hAnsi="Arial" w:cs="Arial"/>
              </w:rPr>
              <w:t>Material w</w:t>
            </w:r>
            <w:r w:rsidR="007D03FA" w:rsidRPr="00867921">
              <w:rPr>
                <w:rFonts w:ascii="Arial" w:hAnsi="Arial" w:cs="Arial"/>
              </w:rPr>
              <w:t>eakness</w:t>
            </w:r>
          </w:p>
        </w:tc>
        <w:tc>
          <w:tcPr>
            <w:tcW w:w="5760" w:type="dxa"/>
          </w:tcPr>
          <w:p w14:paraId="0DB138E3" w14:textId="77777777" w:rsidR="007D03FA" w:rsidRPr="00867921" w:rsidRDefault="007D03FA" w:rsidP="007D03FA">
            <w:pPr>
              <w:pStyle w:val="Table-Cell-Left"/>
              <w:spacing w:before="120" w:after="120"/>
              <w:rPr>
                <w:rFonts w:ascii="Arial" w:hAnsi="Arial" w:cs="Arial"/>
              </w:rPr>
            </w:pPr>
            <w:r w:rsidRPr="00867921">
              <w:rPr>
                <w:rFonts w:ascii="Arial" w:hAnsi="Arial" w:cs="Arial"/>
              </w:rPr>
              <w:t>A deficiency, or a combination of deficiencies, in internal control</w:t>
            </w:r>
            <w:r>
              <w:rPr>
                <w:rFonts w:ascii="Arial" w:hAnsi="Arial" w:cs="Arial"/>
              </w:rPr>
              <w:t xml:space="preserve"> over financial reporting</w:t>
            </w:r>
            <w:r w:rsidRPr="00867921">
              <w:rPr>
                <w:rFonts w:ascii="Arial" w:hAnsi="Arial" w:cs="Arial"/>
              </w:rPr>
              <w:t xml:space="preserve">, such that </w:t>
            </w:r>
            <w:r w:rsidRPr="00867921">
              <w:rPr>
                <w:rFonts w:ascii="Arial" w:hAnsi="Arial" w:cs="Arial"/>
              </w:rPr>
              <w:lastRenderedPageBreak/>
              <w:t>there is a reasonable possibility that a material misstatement of the entity’s financial statements will not be prevented, or detected and corrected, on a timely basis.</w:t>
            </w:r>
          </w:p>
        </w:tc>
      </w:tr>
      <w:tr w:rsidR="007D03FA" w:rsidRPr="00166622" w14:paraId="264251B0" w14:textId="77777777" w:rsidTr="00453A1F">
        <w:trPr>
          <w:trHeight w:val="288"/>
        </w:trPr>
        <w:tc>
          <w:tcPr>
            <w:tcW w:w="3600" w:type="dxa"/>
          </w:tcPr>
          <w:p w14:paraId="48B96342" w14:textId="77777777" w:rsidR="007D03FA" w:rsidRPr="00867921" w:rsidRDefault="007D03FA" w:rsidP="007D03FA">
            <w:pPr>
              <w:pStyle w:val="Table-Head-Left"/>
              <w:spacing w:before="120" w:after="120"/>
              <w:rPr>
                <w:rFonts w:ascii="Arial" w:hAnsi="Arial" w:cs="Arial"/>
              </w:rPr>
            </w:pPr>
            <w:r w:rsidRPr="00867921">
              <w:rPr>
                <w:rFonts w:ascii="Arial" w:hAnsi="Arial" w:cs="Arial"/>
              </w:rPr>
              <w:lastRenderedPageBreak/>
              <w:t>Misappropriation of assets</w:t>
            </w:r>
          </w:p>
        </w:tc>
        <w:tc>
          <w:tcPr>
            <w:tcW w:w="5760" w:type="dxa"/>
          </w:tcPr>
          <w:p w14:paraId="0B21AEFA" w14:textId="77777777" w:rsidR="007D03FA" w:rsidRPr="00867921" w:rsidRDefault="007D03FA" w:rsidP="007D03FA">
            <w:pPr>
              <w:pStyle w:val="Table-Cell-Left"/>
              <w:spacing w:before="120" w:after="120"/>
              <w:rPr>
                <w:rFonts w:ascii="Arial" w:hAnsi="Arial" w:cs="Arial"/>
              </w:rPr>
            </w:pPr>
            <w:r w:rsidRPr="00867921">
              <w:rPr>
                <w:rFonts w:ascii="Arial" w:hAnsi="Arial" w:cs="Arial"/>
              </w:rPr>
              <w:t>Theft of an entity’s assets causing misstatemen</w:t>
            </w:r>
            <w:r>
              <w:rPr>
                <w:rFonts w:ascii="Arial" w:hAnsi="Arial" w:cs="Arial"/>
              </w:rPr>
              <w:t>ts in the financial statements.</w:t>
            </w:r>
          </w:p>
        </w:tc>
      </w:tr>
      <w:tr w:rsidR="007D03FA" w:rsidRPr="00166622" w14:paraId="5C37658B" w14:textId="77777777" w:rsidTr="00453A1F">
        <w:trPr>
          <w:trHeight w:val="288"/>
        </w:trPr>
        <w:tc>
          <w:tcPr>
            <w:tcW w:w="3600" w:type="dxa"/>
          </w:tcPr>
          <w:p w14:paraId="59448E80" w14:textId="77777777" w:rsidR="007D03FA" w:rsidRPr="00C3696B" w:rsidRDefault="007D03FA" w:rsidP="007D03FA">
            <w:pPr>
              <w:pStyle w:val="Table-Head-Left"/>
              <w:spacing w:before="120" w:after="120"/>
              <w:rPr>
                <w:rFonts w:ascii="Arial" w:hAnsi="Arial" w:cs="Arial"/>
              </w:rPr>
            </w:pPr>
            <w:r w:rsidRPr="00C3696B">
              <w:rPr>
                <w:rFonts w:ascii="Arial" w:hAnsi="Arial" w:cs="Arial"/>
              </w:rPr>
              <w:t>Misstatement</w:t>
            </w:r>
          </w:p>
        </w:tc>
        <w:tc>
          <w:tcPr>
            <w:tcW w:w="5760" w:type="dxa"/>
          </w:tcPr>
          <w:p w14:paraId="361B9BDE" w14:textId="77777777" w:rsidR="007D03FA" w:rsidRPr="00C3696B" w:rsidRDefault="007D03FA" w:rsidP="007D03FA">
            <w:pPr>
              <w:pStyle w:val="Table-Cell-Left"/>
              <w:spacing w:before="120" w:after="120"/>
              <w:rPr>
                <w:rFonts w:ascii="Arial" w:hAnsi="Arial" w:cs="Arial"/>
              </w:rPr>
            </w:pPr>
            <w:r w:rsidRPr="00C3696B">
              <w:rPr>
                <w:rFonts w:ascii="Arial" w:hAnsi="Arial" w:cs="Arial"/>
              </w:rPr>
              <w:t>A difference between the amount, classification, presentation, or disclosure of a reported financial statement item and the amount, classification, presentation, or disclosure that is required for the item to be presented fairly in accordance with the applicable financial reporting framework. Misstatement can arise from fraud or error. (Also see factual misstatement, judgmental misstateme</w:t>
            </w:r>
            <w:r>
              <w:rPr>
                <w:rFonts w:ascii="Arial" w:hAnsi="Arial" w:cs="Arial"/>
              </w:rPr>
              <w:t>nt, and projected misstatement)</w:t>
            </w:r>
          </w:p>
        </w:tc>
      </w:tr>
      <w:tr w:rsidR="007D03FA" w:rsidRPr="00C3696B" w14:paraId="2D39D18D" w14:textId="77777777" w:rsidTr="00453A1F">
        <w:trPr>
          <w:trHeight w:val="288"/>
        </w:trPr>
        <w:tc>
          <w:tcPr>
            <w:tcW w:w="3600" w:type="dxa"/>
            <w:shd w:val="clear" w:color="auto" w:fill="auto"/>
          </w:tcPr>
          <w:p w14:paraId="543F73CA" w14:textId="77777777" w:rsidR="007D03FA" w:rsidRPr="00C3696B" w:rsidRDefault="007D03FA" w:rsidP="007D03FA">
            <w:pPr>
              <w:pStyle w:val="Table-Head-Left"/>
              <w:spacing w:before="120" w:after="120"/>
              <w:rPr>
                <w:rFonts w:ascii="Arial" w:hAnsi="Arial" w:cs="Arial"/>
              </w:rPr>
            </w:pPr>
            <w:r w:rsidRPr="00C3696B">
              <w:rPr>
                <w:rFonts w:ascii="Arial" w:hAnsi="Arial" w:cs="Arial"/>
              </w:rPr>
              <w:t>Misstatement of fact</w:t>
            </w:r>
          </w:p>
        </w:tc>
        <w:tc>
          <w:tcPr>
            <w:tcW w:w="5760" w:type="dxa"/>
            <w:shd w:val="clear" w:color="auto" w:fill="auto"/>
          </w:tcPr>
          <w:p w14:paraId="2149F49C" w14:textId="77777777" w:rsidR="007D03FA" w:rsidRPr="00C3696B" w:rsidRDefault="007D03FA" w:rsidP="007D03FA">
            <w:pPr>
              <w:pStyle w:val="Table-Cell-Left"/>
              <w:spacing w:before="120" w:after="120"/>
              <w:rPr>
                <w:rFonts w:ascii="Arial" w:hAnsi="Arial" w:cs="Arial"/>
              </w:rPr>
            </w:pPr>
            <w:r w:rsidRPr="00C3696B">
              <w:rPr>
                <w:rFonts w:ascii="Arial" w:hAnsi="Arial" w:cs="Arial"/>
              </w:rPr>
              <w:t>Other information that is unrelated to matters appearing in the audited financial statements that is incorrectly stated or presented. A material misstatement of fact may undermine the credibility of the document containing audited financial statements.</w:t>
            </w:r>
          </w:p>
        </w:tc>
      </w:tr>
      <w:tr w:rsidR="007D03FA" w:rsidRPr="00166622" w14:paraId="3D8BB915" w14:textId="77777777" w:rsidTr="00453A1F">
        <w:trPr>
          <w:trHeight w:val="288"/>
        </w:trPr>
        <w:tc>
          <w:tcPr>
            <w:tcW w:w="3600" w:type="dxa"/>
          </w:tcPr>
          <w:p w14:paraId="1E28CFA3" w14:textId="77777777" w:rsidR="007D03FA" w:rsidRPr="00C3696B" w:rsidRDefault="007D03FA" w:rsidP="007D03FA">
            <w:pPr>
              <w:pStyle w:val="Table-Head-Left"/>
              <w:spacing w:before="120" w:after="120"/>
              <w:rPr>
                <w:rFonts w:ascii="Arial" w:hAnsi="Arial" w:cs="Arial"/>
              </w:rPr>
            </w:pPr>
            <w:r w:rsidRPr="00C3696B">
              <w:rPr>
                <w:rFonts w:ascii="Arial" w:hAnsi="Arial" w:cs="Arial"/>
              </w:rPr>
              <w:t>Modified opinion</w:t>
            </w:r>
          </w:p>
        </w:tc>
        <w:tc>
          <w:tcPr>
            <w:tcW w:w="5760" w:type="dxa"/>
          </w:tcPr>
          <w:p w14:paraId="1EB269A6" w14:textId="77777777" w:rsidR="007D03FA" w:rsidRPr="00C3696B" w:rsidRDefault="007D03FA" w:rsidP="007D03FA">
            <w:pPr>
              <w:pStyle w:val="Table-Cell-Left"/>
              <w:spacing w:before="120" w:after="120"/>
              <w:rPr>
                <w:rFonts w:ascii="Arial" w:hAnsi="Arial" w:cs="Arial"/>
              </w:rPr>
            </w:pPr>
            <w:r w:rsidRPr="00C3696B">
              <w:rPr>
                <w:rFonts w:ascii="Arial" w:hAnsi="Arial" w:cs="Arial"/>
              </w:rPr>
              <w:t>A qualified opinion, an adverse opinion, or a disclaimer of opinion.</w:t>
            </w:r>
          </w:p>
        </w:tc>
      </w:tr>
      <w:tr w:rsidR="007D03FA" w:rsidRPr="00166622" w14:paraId="6C4D5851" w14:textId="77777777" w:rsidTr="00453A1F">
        <w:trPr>
          <w:trHeight w:val="288"/>
        </w:trPr>
        <w:tc>
          <w:tcPr>
            <w:tcW w:w="3600" w:type="dxa"/>
          </w:tcPr>
          <w:p w14:paraId="344821D0" w14:textId="77777777" w:rsidR="007D03FA" w:rsidRPr="00C3696B" w:rsidRDefault="007D03FA" w:rsidP="007D03FA">
            <w:pPr>
              <w:pStyle w:val="Table-Head-Left"/>
              <w:spacing w:before="120" w:after="120"/>
              <w:rPr>
                <w:rFonts w:ascii="Arial" w:hAnsi="Arial" w:cs="Arial"/>
              </w:rPr>
            </w:pPr>
            <w:r w:rsidRPr="00C3696B">
              <w:rPr>
                <w:rFonts w:ascii="Arial" w:hAnsi="Arial" w:cs="Arial"/>
              </w:rPr>
              <w:t>Monetary unit sampling</w:t>
            </w:r>
          </w:p>
        </w:tc>
        <w:tc>
          <w:tcPr>
            <w:tcW w:w="5760" w:type="dxa"/>
          </w:tcPr>
          <w:p w14:paraId="4E45F178" w14:textId="77777777" w:rsidR="007D03FA" w:rsidRPr="00C3696B" w:rsidRDefault="007D03FA" w:rsidP="007D03FA">
            <w:pPr>
              <w:pStyle w:val="Table-Cell-Left"/>
              <w:spacing w:before="120" w:after="120"/>
              <w:rPr>
                <w:rFonts w:ascii="Arial" w:hAnsi="Arial" w:cs="Arial"/>
              </w:rPr>
            </w:pPr>
            <w:r w:rsidRPr="00C3696B">
              <w:rPr>
                <w:rFonts w:ascii="Arial" w:hAnsi="Arial" w:cs="Arial"/>
              </w:rPr>
              <w:t>A variables sampling evaluation method that utilizes a probability-proportional-to-size (PPS) sample selection technique.</w:t>
            </w:r>
          </w:p>
        </w:tc>
      </w:tr>
      <w:tr w:rsidR="007D03FA" w:rsidRPr="00166622" w14:paraId="0AF40B58" w14:textId="77777777" w:rsidTr="00453A1F">
        <w:trPr>
          <w:trHeight w:val="288"/>
        </w:trPr>
        <w:tc>
          <w:tcPr>
            <w:tcW w:w="3600" w:type="dxa"/>
          </w:tcPr>
          <w:p w14:paraId="6E41FF74" w14:textId="77777777" w:rsidR="007D03FA" w:rsidRPr="00345B8E" w:rsidRDefault="007D03FA" w:rsidP="007D03FA">
            <w:pPr>
              <w:pStyle w:val="Table-Head-Left"/>
              <w:spacing w:before="120" w:after="120"/>
              <w:rPr>
                <w:rFonts w:ascii="Arial" w:hAnsi="Arial" w:cs="Arial"/>
              </w:rPr>
            </w:pPr>
            <w:r w:rsidRPr="00345B8E">
              <w:rPr>
                <w:rFonts w:ascii="Arial" w:hAnsi="Arial" w:cs="Arial"/>
              </w:rPr>
              <w:t>Monitoring</w:t>
            </w:r>
          </w:p>
        </w:tc>
        <w:tc>
          <w:tcPr>
            <w:tcW w:w="5760" w:type="dxa"/>
          </w:tcPr>
          <w:p w14:paraId="74F1F1DC" w14:textId="77777777" w:rsidR="007D03FA" w:rsidRPr="00345B8E" w:rsidRDefault="007D03FA" w:rsidP="007D03FA">
            <w:pPr>
              <w:pStyle w:val="Table-Cell-Left"/>
              <w:spacing w:before="120" w:after="120"/>
              <w:rPr>
                <w:rFonts w:ascii="Arial" w:hAnsi="Arial" w:cs="Arial"/>
              </w:rPr>
            </w:pPr>
            <w:r w:rsidRPr="00345B8E">
              <w:rPr>
                <w:rFonts w:ascii="Arial" w:hAnsi="Arial" w:cs="Arial"/>
              </w:rPr>
              <w:t xml:space="preserve">One of the five components of internal control, in addition to control environment, risk assessment, control activities, and information and communications. </w:t>
            </w:r>
          </w:p>
          <w:p w14:paraId="00D87458" w14:textId="77777777" w:rsidR="007D03FA" w:rsidRPr="00345B8E" w:rsidRDefault="007D03FA" w:rsidP="007D03FA">
            <w:pPr>
              <w:pStyle w:val="Table-Cell-Left"/>
              <w:spacing w:before="120" w:after="120"/>
              <w:rPr>
                <w:rFonts w:ascii="Arial" w:hAnsi="Arial" w:cs="Arial"/>
              </w:rPr>
            </w:pPr>
            <w:r w:rsidRPr="00345B8E">
              <w:rPr>
                <w:rFonts w:ascii="Arial" w:hAnsi="Arial" w:cs="Arial"/>
                <w:bCs/>
              </w:rPr>
              <w:t>Monitoring</w:t>
            </w:r>
            <w:r w:rsidRPr="00345B8E">
              <w:rPr>
                <w:rFonts w:ascii="Arial" w:hAnsi="Arial" w:cs="Arial"/>
              </w:rPr>
              <w:t xml:space="preserve"> of controls is a process to assess the effectiveness of internal control performance over time. This consists of activities management establishes and operates to assess the quality of performance over time and promptly resolve the findings of audits and other reviews.</w:t>
            </w:r>
          </w:p>
        </w:tc>
      </w:tr>
      <w:tr w:rsidR="007D03FA" w:rsidRPr="00166622" w14:paraId="5AF1F78E" w14:textId="77777777" w:rsidTr="00453A1F">
        <w:trPr>
          <w:trHeight w:val="288"/>
        </w:trPr>
        <w:tc>
          <w:tcPr>
            <w:tcW w:w="3600" w:type="dxa"/>
          </w:tcPr>
          <w:p w14:paraId="4F63EB5D" w14:textId="77777777" w:rsidR="007D03FA" w:rsidRPr="00345B8E" w:rsidRDefault="007D03FA" w:rsidP="007D03FA">
            <w:pPr>
              <w:pStyle w:val="Table-Head-Left"/>
              <w:spacing w:before="120" w:after="120"/>
              <w:rPr>
                <w:rFonts w:ascii="Arial" w:hAnsi="Arial" w:cs="Arial"/>
              </w:rPr>
            </w:pPr>
            <w:r w:rsidRPr="00345B8E">
              <w:rPr>
                <w:rFonts w:ascii="Arial" w:hAnsi="Arial" w:cs="Arial"/>
              </w:rPr>
              <w:t>Multipurpose testing</w:t>
            </w:r>
          </w:p>
        </w:tc>
        <w:tc>
          <w:tcPr>
            <w:tcW w:w="5760" w:type="dxa"/>
          </w:tcPr>
          <w:p w14:paraId="47491D33" w14:textId="77777777" w:rsidR="007D03FA" w:rsidRPr="00345B8E" w:rsidRDefault="007D03FA" w:rsidP="007D03FA">
            <w:pPr>
              <w:pStyle w:val="Table-Cell-Left"/>
              <w:spacing w:before="120" w:after="120"/>
              <w:rPr>
                <w:rFonts w:ascii="Arial" w:hAnsi="Arial" w:cs="Arial"/>
              </w:rPr>
            </w:pPr>
            <w:r w:rsidRPr="00345B8E">
              <w:rPr>
                <w:rFonts w:ascii="Arial" w:hAnsi="Arial" w:cs="Arial"/>
              </w:rPr>
              <w:t>Performing several tests, such as control tests, compliance tests, and substantive tests, on a common selection, usually a sample.</w:t>
            </w:r>
          </w:p>
        </w:tc>
      </w:tr>
      <w:tr w:rsidR="007D03FA" w:rsidRPr="00166622" w14:paraId="753CB5A6" w14:textId="77777777" w:rsidTr="00453A1F">
        <w:trPr>
          <w:trHeight w:val="288"/>
        </w:trPr>
        <w:tc>
          <w:tcPr>
            <w:tcW w:w="3600" w:type="dxa"/>
          </w:tcPr>
          <w:p w14:paraId="0FB2EE1C" w14:textId="77777777" w:rsidR="007D03FA" w:rsidRPr="00345B8E" w:rsidRDefault="007D03FA" w:rsidP="007D03FA">
            <w:pPr>
              <w:pStyle w:val="Table-Head-Left"/>
              <w:spacing w:before="120" w:after="120"/>
              <w:rPr>
                <w:rFonts w:ascii="Arial" w:hAnsi="Arial" w:cs="Arial"/>
              </w:rPr>
            </w:pPr>
            <w:r w:rsidRPr="00345B8E">
              <w:rPr>
                <w:rFonts w:ascii="Arial" w:hAnsi="Arial" w:cs="Arial"/>
              </w:rPr>
              <w:lastRenderedPageBreak/>
              <w:t>Noncompliance</w:t>
            </w:r>
          </w:p>
        </w:tc>
        <w:tc>
          <w:tcPr>
            <w:tcW w:w="5760" w:type="dxa"/>
          </w:tcPr>
          <w:p w14:paraId="5E6574BF" w14:textId="77777777" w:rsidR="007D03FA" w:rsidRPr="00345B8E" w:rsidRDefault="007D03FA" w:rsidP="007D03FA">
            <w:pPr>
              <w:pStyle w:val="Table-Cell-Left"/>
              <w:spacing w:before="120" w:after="120"/>
              <w:rPr>
                <w:rFonts w:ascii="Arial" w:hAnsi="Arial" w:cs="Arial"/>
              </w:rPr>
            </w:pPr>
            <w:r w:rsidRPr="00345B8E">
              <w:rPr>
                <w:rFonts w:ascii="Arial" w:hAnsi="Arial" w:cs="Arial"/>
              </w:rPr>
              <w:t>Acts of omission or commission by the entity, either intentional or unintentional, which are contrary to the prevailing laws or regulations. Such acts include transactions entered into by, or in the name of, the entity or on its behalf by those charged with governance, management, or employees. Noncompliance does not include personal misconduct (unrelated to the business activities of the entity) by those charged with governance, management, or employees of the entity.</w:t>
            </w:r>
          </w:p>
        </w:tc>
      </w:tr>
      <w:tr w:rsidR="007D03FA" w:rsidRPr="00166622" w14:paraId="7D2DBFD5" w14:textId="77777777" w:rsidTr="00453A1F">
        <w:trPr>
          <w:trHeight w:val="288"/>
        </w:trPr>
        <w:tc>
          <w:tcPr>
            <w:tcW w:w="3600" w:type="dxa"/>
            <w:shd w:val="clear" w:color="auto" w:fill="auto"/>
          </w:tcPr>
          <w:p w14:paraId="3511A195" w14:textId="77777777" w:rsidR="007D03FA" w:rsidRPr="00867921" w:rsidRDefault="007D03FA" w:rsidP="007D03FA">
            <w:pPr>
              <w:pStyle w:val="Table-Head-Left"/>
              <w:spacing w:before="120" w:after="120"/>
              <w:rPr>
                <w:rFonts w:ascii="Arial" w:hAnsi="Arial" w:cs="Arial"/>
              </w:rPr>
            </w:pPr>
            <w:r w:rsidRPr="00867921">
              <w:rPr>
                <w:rFonts w:ascii="Arial" w:hAnsi="Arial" w:cs="Arial"/>
              </w:rPr>
              <w:t>Nonrecognized events</w:t>
            </w:r>
          </w:p>
        </w:tc>
        <w:tc>
          <w:tcPr>
            <w:tcW w:w="5760" w:type="dxa"/>
            <w:shd w:val="clear" w:color="auto" w:fill="auto"/>
          </w:tcPr>
          <w:p w14:paraId="0070A9C6" w14:textId="77777777" w:rsidR="007D03FA" w:rsidRPr="00867921" w:rsidRDefault="007D03FA" w:rsidP="007D03FA">
            <w:pPr>
              <w:pStyle w:val="Table-Cell-Left"/>
              <w:spacing w:before="120" w:after="120"/>
              <w:rPr>
                <w:rFonts w:ascii="Arial" w:hAnsi="Arial" w:cs="Arial"/>
              </w:rPr>
            </w:pPr>
            <w:r w:rsidRPr="00867921">
              <w:rPr>
                <w:rFonts w:ascii="Arial" w:hAnsi="Arial" w:cs="Arial"/>
              </w:rPr>
              <w:t>Subsequent events that provide evidence with respect to conditions that did not exist at the date of the financial statements but</w:t>
            </w:r>
            <w:r>
              <w:rPr>
                <w:rFonts w:ascii="Arial" w:hAnsi="Arial" w:cs="Arial"/>
              </w:rPr>
              <w:t xml:space="preserve"> arose subsequent to that date.</w:t>
            </w:r>
          </w:p>
        </w:tc>
      </w:tr>
      <w:tr w:rsidR="007D03FA" w:rsidRPr="00166622" w14:paraId="03C9C139" w14:textId="77777777" w:rsidTr="00453A1F">
        <w:trPr>
          <w:trHeight w:val="288"/>
        </w:trPr>
        <w:tc>
          <w:tcPr>
            <w:tcW w:w="3600" w:type="dxa"/>
          </w:tcPr>
          <w:p w14:paraId="5F254357" w14:textId="77777777" w:rsidR="007D03FA" w:rsidRPr="00166622" w:rsidRDefault="007D03FA" w:rsidP="007D03FA">
            <w:pPr>
              <w:pStyle w:val="Table-Head-Left"/>
              <w:spacing w:before="120" w:after="120"/>
              <w:rPr>
                <w:rFonts w:ascii="Arial" w:hAnsi="Arial" w:cs="Arial"/>
              </w:rPr>
            </w:pPr>
            <w:r w:rsidRPr="00166622">
              <w:rPr>
                <w:rFonts w:ascii="Arial" w:hAnsi="Arial" w:cs="Arial"/>
              </w:rPr>
              <w:t>Nonrepresentative selection</w:t>
            </w:r>
          </w:p>
        </w:tc>
        <w:tc>
          <w:tcPr>
            <w:tcW w:w="5760" w:type="dxa"/>
          </w:tcPr>
          <w:p w14:paraId="33955AD1" w14:textId="77777777" w:rsidR="007D03FA" w:rsidRPr="00166622" w:rsidRDefault="007D03FA" w:rsidP="007D03FA">
            <w:pPr>
              <w:pStyle w:val="Table-Cell-Left"/>
              <w:spacing w:before="120" w:after="120"/>
              <w:rPr>
                <w:rFonts w:ascii="Arial" w:hAnsi="Arial" w:cs="Arial"/>
              </w:rPr>
            </w:pPr>
            <w:r w:rsidRPr="00166622">
              <w:rPr>
                <w:rFonts w:ascii="Arial" w:hAnsi="Arial" w:cs="Arial"/>
              </w:rPr>
              <w:t>A selection of items to reach a conclusion only on the items selected. The auditor using a nonrepresentative selection (formerly referred to as a nonsampling selection) may not project the results to the portion of the population that was not tested. Accordingly, the auditor applies appropriate analytical and/or other substantive procedures to the remaining items, unless those items are immaterial in total or the auditor has already obtained enough assurance that there is a low risk of material misstatement in the total population. The auditor also uses nonrepresentative selections to test controls through inquiry, observation, and walkthrough procedures and to obtain planning information.</w:t>
            </w:r>
          </w:p>
        </w:tc>
      </w:tr>
      <w:tr w:rsidR="007D03FA" w:rsidRPr="00166622" w14:paraId="2E58532D" w14:textId="77777777" w:rsidTr="00453A1F">
        <w:trPr>
          <w:trHeight w:val="288"/>
        </w:trPr>
        <w:tc>
          <w:tcPr>
            <w:tcW w:w="3600" w:type="dxa"/>
          </w:tcPr>
          <w:p w14:paraId="6E064B25" w14:textId="77777777" w:rsidR="007D03FA" w:rsidRPr="00867921" w:rsidRDefault="007D03FA" w:rsidP="007D03FA">
            <w:pPr>
              <w:pStyle w:val="Table-Head-Left"/>
              <w:spacing w:before="120" w:after="120"/>
              <w:rPr>
                <w:rFonts w:ascii="Arial" w:hAnsi="Arial" w:cs="Arial"/>
              </w:rPr>
            </w:pPr>
            <w:r w:rsidRPr="00867921">
              <w:rPr>
                <w:rFonts w:ascii="Arial" w:hAnsi="Arial" w:cs="Arial"/>
              </w:rPr>
              <w:t>Nonstatistical sampling</w:t>
            </w:r>
          </w:p>
        </w:tc>
        <w:tc>
          <w:tcPr>
            <w:tcW w:w="5760" w:type="dxa"/>
          </w:tcPr>
          <w:p w14:paraId="027DC76D" w14:textId="77777777" w:rsidR="007D03FA" w:rsidRPr="00867921" w:rsidRDefault="007D03FA" w:rsidP="007D03FA">
            <w:pPr>
              <w:pStyle w:val="Table-Cell-Left"/>
              <w:spacing w:before="120" w:after="120"/>
              <w:rPr>
                <w:rFonts w:ascii="Arial" w:hAnsi="Arial" w:cs="Arial"/>
              </w:rPr>
            </w:pPr>
            <w:r w:rsidRPr="00867921">
              <w:rPr>
                <w:rFonts w:ascii="Arial" w:hAnsi="Arial" w:cs="Arial"/>
              </w:rPr>
              <w:t>A sampling technique for which the auditor considers sampling risk in evaluating an audit sample without using statisti</w:t>
            </w:r>
            <w:r>
              <w:rPr>
                <w:rFonts w:ascii="Arial" w:hAnsi="Arial" w:cs="Arial"/>
              </w:rPr>
              <w:t>cal theory to measure the risk.</w:t>
            </w:r>
          </w:p>
        </w:tc>
      </w:tr>
      <w:tr w:rsidR="007D03FA" w:rsidRPr="00166622" w14:paraId="4B1D6DD6" w14:textId="77777777" w:rsidTr="00453A1F">
        <w:trPr>
          <w:trHeight w:val="288"/>
        </w:trPr>
        <w:tc>
          <w:tcPr>
            <w:tcW w:w="3600" w:type="dxa"/>
          </w:tcPr>
          <w:p w14:paraId="0D7BB022" w14:textId="77777777" w:rsidR="007D03FA" w:rsidRPr="00867921" w:rsidRDefault="007D03FA" w:rsidP="007D03FA">
            <w:pPr>
              <w:pStyle w:val="Table-Head-Left"/>
              <w:spacing w:before="120" w:after="120"/>
              <w:rPr>
                <w:rFonts w:ascii="Arial" w:hAnsi="Arial" w:cs="Arial"/>
              </w:rPr>
            </w:pPr>
            <w:r w:rsidRPr="00867921">
              <w:rPr>
                <w:rFonts w:ascii="Arial" w:hAnsi="Arial" w:cs="Arial"/>
              </w:rPr>
              <w:t>Notification letter</w:t>
            </w:r>
          </w:p>
        </w:tc>
        <w:tc>
          <w:tcPr>
            <w:tcW w:w="5760" w:type="dxa"/>
          </w:tcPr>
          <w:p w14:paraId="5D20B71B" w14:textId="77777777" w:rsidR="007D03FA" w:rsidRPr="00867921" w:rsidRDefault="007D03FA" w:rsidP="007D03FA">
            <w:pPr>
              <w:pStyle w:val="Table-Cell-Left"/>
              <w:spacing w:before="120" w:after="120"/>
              <w:rPr>
                <w:rFonts w:ascii="Arial" w:hAnsi="Arial" w:cs="Arial"/>
              </w:rPr>
            </w:pPr>
            <w:r w:rsidRPr="00867921">
              <w:rPr>
                <w:rFonts w:ascii="Arial" w:hAnsi="Arial" w:cs="Arial"/>
              </w:rPr>
              <w:t>A letter used by some auditors to notify federal agencies of new en</w:t>
            </w:r>
            <w:r>
              <w:rPr>
                <w:rFonts w:ascii="Arial" w:hAnsi="Arial" w:cs="Arial"/>
              </w:rPr>
              <w:t>gagements for any type of work.</w:t>
            </w:r>
          </w:p>
        </w:tc>
      </w:tr>
      <w:tr w:rsidR="007D03FA" w:rsidRPr="00166622" w14:paraId="768AF287" w14:textId="77777777" w:rsidTr="00453A1F">
        <w:trPr>
          <w:trHeight w:val="288"/>
        </w:trPr>
        <w:tc>
          <w:tcPr>
            <w:tcW w:w="3600" w:type="dxa"/>
          </w:tcPr>
          <w:p w14:paraId="430B7B37" w14:textId="77777777" w:rsidR="007D03FA" w:rsidRDefault="007D03FA" w:rsidP="007D03FA">
            <w:pPr>
              <w:pStyle w:val="Table-Head-Left"/>
              <w:spacing w:before="120" w:after="120"/>
              <w:rPr>
                <w:rFonts w:ascii="Arial" w:hAnsi="Arial" w:cs="Arial"/>
              </w:rPr>
            </w:pPr>
            <w:r>
              <w:rPr>
                <w:rFonts w:ascii="Arial" w:hAnsi="Arial" w:cs="Arial"/>
              </w:rPr>
              <w:t>Obligation</w:t>
            </w:r>
          </w:p>
        </w:tc>
        <w:tc>
          <w:tcPr>
            <w:tcW w:w="5760" w:type="dxa"/>
          </w:tcPr>
          <w:p w14:paraId="2A82C9F8" w14:textId="77777777" w:rsidR="007D03FA" w:rsidRDefault="007D03FA" w:rsidP="007D03FA">
            <w:pPr>
              <w:pStyle w:val="Table-Cell-Left"/>
              <w:spacing w:before="120" w:after="120"/>
              <w:rPr>
                <w:rFonts w:ascii="Arial" w:hAnsi="Arial" w:cs="Arial"/>
              </w:rPr>
            </w:pPr>
            <w:r w:rsidRPr="00620DC8">
              <w:rPr>
                <w:rFonts w:ascii="Arial" w:hAnsi="Arial" w:cs="Arial"/>
              </w:rPr>
              <w:t>A definite commitment that creates a legal liability of the government for the payment of goods and services ordered or received, or a legal duty on the part of the U.S. that could mature into a legal liability by virtue of actions on the part of the other party beyond the control of the U.S</w:t>
            </w:r>
            <w:r>
              <w:rPr>
                <w:rFonts w:ascii="Arial" w:hAnsi="Arial" w:cs="Arial"/>
              </w:rPr>
              <w:t>.</w:t>
            </w:r>
          </w:p>
        </w:tc>
      </w:tr>
      <w:tr w:rsidR="007D03FA" w:rsidRPr="00166622" w14:paraId="7CBD5382" w14:textId="77777777" w:rsidTr="00453A1F">
        <w:trPr>
          <w:trHeight w:val="288"/>
        </w:trPr>
        <w:tc>
          <w:tcPr>
            <w:tcW w:w="3600" w:type="dxa"/>
            <w:shd w:val="clear" w:color="auto" w:fill="auto"/>
          </w:tcPr>
          <w:p w14:paraId="4B87112A" w14:textId="77777777" w:rsidR="007D03FA" w:rsidRPr="00867921" w:rsidRDefault="007D03FA" w:rsidP="007D03FA">
            <w:pPr>
              <w:pStyle w:val="Table-Head-Left"/>
              <w:spacing w:before="120" w:after="120"/>
              <w:rPr>
                <w:rFonts w:ascii="Arial" w:hAnsi="Arial" w:cs="Arial"/>
              </w:rPr>
            </w:pPr>
            <w:r>
              <w:rPr>
                <w:rFonts w:ascii="Arial" w:hAnsi="Arial" w:cs="Arial"/>
              </w:rPr>
              <w:lastRenderedPageBreak/>
              <w:t>Office of the General Counsel (OGC)</w:t>
            </w:r>
          </w:p>
        </w:tc>
        <w:tc>
          <w:tcPr>
            <w:tcW w:w="5760" w:type="dxa"/>
            <w:shd w:val="clear" w:color="auto" w:fill="auto"/>
          </w:tcPr>
          <w:p w14:paraId="17AA564C" w14:textId="77777777" w:rsidR="007D03FA" w:rsidRPr="00784B8B" w:rsidRDefault="007D03FA" w:rsidP="007D03FA">
            <w:pPr>
              <w:pStyle w:val="Table-Cell-Left"/>
              <w:spacing w:before="120" w:after="120"/>
              <w:rPr>
                <w:rFonts w:ascii="Arial" w:hAnsi="Arial" w:cs="Arial"/>
              </w:rPr>
            </w:pPr>
            <w:r>
              <w:rPr>
                <w:rFonts w:ascii="Arial" w:hAnsi="Arial" w:cs="Arial"/>
              </w:rPr>
              <w:t xml:space="preserve">The office </w:t>
            </w:r>
            <w:r w:rsidRPr="00624C55">
              <w:rPr>
                <w:rFonts w:ascii="Arial" w:hAnsi="Arial" w:cs="Arial"/>
              </w:rPr>
              <w:t>advises the auditor in (1) identifying significant provisions of applicable laws and regulations to test; (2) identifying budget restrictions; and (3) identifying and resolving legal issues encountered during the financial statement audit, such as evaluating potential instances of noncompliance.</w:t>
            </w:r>
          </w:p>
        </w:tc>
      </w:tr>
      <w:tr w:rsidR="007D03FA" w:rsidRPr="00166622" w14:paraId="143B60A5" w14:textId="77777777" w:rsidTr="00453A1F">
        <w:trPr>
          <w:trHeight w:val="288"/>
        </w:trPr>
        <w:tc>
          <w:tcPr>
            <w:tcW w:w="3600" w:type="dxa"/>
          </w:tcPr>
          <w:p w14:paraId="0639A162" w14:textId="77777777" w:rsidR="007D03FA" w:rsidRPr="00867921" w:rsidRDefault="007D03FA" w:rsidP="007D03FA">
            <w:pPr>
              <w:pStyle w:val="Table-Head-Left"/>
              <w:spacing w:before="120" w:after="120"/>
              <w:rPr>
                <w:rFonts w:ascii="Arial" w:hAnsi="Arial" w:cs="Arial"/>
              </w:rPr>
            </w:pPr>
            <w:r w:rsidRPr="00867921">
              <w:rPr>
                <w:rFonts w:ascii="Arial" w:hAnsi="Arial" w:cs="Arial"/>
              </w:rPr>
              <w:t>Offsetting receipts and collections</w:t>
            </w:r>
            <w:r>
              <w:rPr>
                <w:rFonts w:ascii="Arial" w:hAnsi="Arial" w:cs="Arial"/>
              </w:rPr>
              <w:t xml:space="preserve"> authority</w:t>
            </w:r>
          </w:p>
        </w:tc>
        <w:tc>
          <w:tcPr>
            <w:tcW w:w="5760" w:type="dxa"/>
          </w:tcPr>
          <w:p w14:paraId="6BF0E984" w14:textId="77777777" w:rsidR="007D03FA" w:rsidRPr="00867921" w:rsidRDefault="007D03FA" w:rsidP="007D03FA">
            <w:pPr>
              <w:pStyle w:val="Table-Cell-Left"/>
              <w:spacing w:before="120" w:after="120"/>
              <w:rPr>
                <w:rFonts w:ascii="Arial" w:hAnsi="Arial" w:cs="Arial"/>
              </w:rPr>
            </w:pPr>
            <w:r w:rsidRPr="00784B8B">
              <w:rPr>
                <w:rFonts w:ascii="Arial" w:hAnsi="Arial" w:cs="Arial"/>
              </w:rPr>
              <w:t xml:space="preserve">Statutory authority that permits federal entities to obligate and expend the proceeds of offsetting receipts and collections. Offsetting receipts and collections are of a business- market-oriented nature and may include intragovernmental transactions, such as reimbursements for materials or services provided to other government entities. If, pursuant to law, they are credited to appropriations or fund expenditure accounts and are available for obligation without further congressional action, they are referred to as offsetting collections. </w:t>
            </w:r>
          </w:p>
        </w:tc>
      </w:tr>
      <w:tr w:rsidR="007D03FA" w:rsidRPr="00166622" w14:paraId="59CD4B85" w14:textId="77777777" w:rsidTr="00453A1F">
        <w:trPr>
          <w:trHeight w:val="288"/>
        </w:trPr>
        <w:tc>
          <w:tcPr>
            <w:tcW w:w="3600" w:type="dxa"/>
          </w:tcPr>
          <w:p w14:paraId="44F75ECD" w14:textId="77777777" w:rsidR="007D03FA" w:rsidRPr="00867921" w:rsidRDefault="007D03FA" w:rsidP="007D03FA">
            <w:pPr>
              <w:pStyle w:val="Table-Head-Left"/>
              <w:spacing w:before="120" w:after="120"/>
              <w:rPr>
                <w:rFonts w:ascii="Arial" w:hAnsi="Arial" w:cs="Arial"/>
              </w:rPr>
            </w:pPr>
            <w:r w:rsidRPr="00867921">
              <w:rPr>
                <w:rFonts w:ascii="Arial" w:hAnsi="Arial" w:cs="Arial"/>
              </w:rPr>
              <w:t>Operations controls</w:t>
            </w:r>
          </w:p>
        </w:tc>
        <w:tc>
          <w:tcPr>
            <w:tcW w:w="5760" w:type="dxa"/>
          </w:tcPr>
          <w:p w14:paraId="60FCB58A" w14:textId="77777777" w:rsidR="007D03FA" w:rsidRPr="00867921" w:rsidRDefault="007D03FA" w:rsidP="007D03FA">
            <w:pPr>
              <w:pStyle w:val="Table-Cell-Left"/>
              <w:spacing w:before="120" w:after="120"/>
              <w:rPr>
                <w:rFonts w:ascii="Arial" w:hAnsi="Arial" w:cs="Arial"/>
              </w:rPr>
            </w:pPr>
            <w:r w:rsidRPr="00867921">
              <w:rPr>
                <w:rFonts w:ascii="Arial" w:hAnsi="Arial" w:cs="Arial"/>
              </w:rPr>
              <w:t>A process by management and others, designed to provide reasonable assurance regarding the achievement of objectives for the planning, productivity, quality, economy, efficiency o</w:t>
            </w:r>
            <w:r>
              <w:rPr>
                <w:rFonts w:ascii="Arial" w:hAnsi="Arial" w:cs="Arial"/>
              </w:rPr>
              <w:t xml:space="preserve">r effectiveness of operations. </w:t>
            </w:r>
          </w:p>
        </w:tc>
      </w:tr>
      <w:tr w:rsidR="007D03FA" w:rsidRPr="00166622" w14:paraId="398FD75C" w14:textId="77777777" w:rsidTr="00453A1F">
        <w:trPr>
          <w:trHeight w:val="288"/>
        </w:trPr>
        <w:tc>
          <w:tcPr>
            <w:tcW w:w="3600" w:type="dxa"/>
          </w:tcPr>
          <w:p w14:paraId="33D705BC" w14:textId="77777777" w:rsidR="007D03FA" w:rsidRDefault="007D03FA" w:rsidP="007D03FA">
            <w:pPr>
              <w:pStyle w:val="Table-Head-Left"/>
              <w:spacing w:before="120" w:after="120"/>
              <w:rPr>
                <w:rFonts w:ascii="Arial" w:hAnsi="Arial" w:cs="Arial"/>
              </w:rPr>
            </w:pPr>
            <w:r>
              <w:rPr>
                <w:rFonts w:ascii="Arial" w:hAnsi="Arial" w:cs="Arial"/>
              </w:rPr>
              <w:t>Other auditors</w:t>
            </w:r>
          </w:p>
        </w:tc>
        <w:tc>
          <w:tcPr>
            <w:tcW w:w="5760" w:type="dxa"/>
          </w:tcPr>
          <w:p w14:paraId="5B03BDA9" w14:textId="77777777" w:rsidR="007D03FA" w:rsidRPr="0097216D" w:rsidRDefault="007D03FA" w:rsidP="007D03FA">
            <w:pPr>
              <w:pStyle w:val="Table-Cell-Left"/>
              <w:spacing w:before="120" w:after="120"/>
              <w:rPr>
                <w:rFonts w:ascii="Arial" w:hAnsi="Arial" w:cs="Arial"/>
              </w:rPr>
            </w:pPr>
            <w:r>
              <w:rPr>
                <w:rFonts w:ascii="Arial" w:hAnsi="Arial" w:cs="Arial"/>
              </w:rPr>
              <w:t>A</w:t>
            </w:r>
            <w:r w:rsidRPr="00C51E46">
              <w:rPr>
                <w:rFonts w:ascii="Arial" w:hAnsi="Arial" w:cs="Arial"/>
              </w:rPr>
              <w:t>uditors other than the audit organization performing the entity’s financial statement audit as group auditor. These “other” auditors may be part of the entity’s monitoring controls.</w:t>
            </w:r>
          </w:p>
        </w:tc>
      </w:tr>
      <w:tr w:rsidR="007D03FA" w:rsidRPr="00166622" w14:paraId="6A47FDD0" w14:textId="77777777" w:rsidTr="00453A1F">
        <w:trPr>
          <w:trHeight w:val="288"/>
        </w:trPr>
        <w:tc>
          <w:tcPr>
            <w:tcW w:w="3600" w:type="dxa"/>
            <w:shd w:val="clear" w:color="auto" w:fill="auto"/>
          </w:tcPr>
          <w:p w14:paraId="5E45AB87" w14:textId="77777777" w:rsidR="007D03FA" w:rsidRPr="0097216D" w:rsidRDefault="007D03FA" w:rsidP="007D03FA">
            <w:pPr>
              <w:pStyle w:val="Table-Head-Left"/>
              <w:spacing w:before="120" w:after="120"/>
              <w:rPr>
                <w:rFonts w:ascii="Arial" w:hAnsi="Arial" w:cs="Arial"/>
              </w:rPr>
            </w:pPr>
            <w:r>
              <w:rPr>
                <w:rFonts w:ascii="Arial" w:hAnsi="Arial" w:cs="Arial"/>
              </w:rPr>
              <w:t>Other-matter paragraph</w:t>
            </w:r>
          </w:p>
        </w:tc>
        <w:tc>
          <w:tcPr>
            <w:tcW w:w="5760" w:type="dxa"/>
            <w:shd w:val="clear" w:color="auto" w:fill="auto"/>
          </w:tcPr>
          <w:p w14:paraId="31D24258" w14:textId="77777777" w:rsidR="007D03FA" w:rsidRPr="0097216D" w:rsidRDefault="007D03FA" w:rsidP="007D03FA">
            <w:pPr>
              <w:pStyle w:val="Table-Cell-Left"/>
              <w:spacing w:before="120" w:after="120"/>
              <w:rPr>
                <w:rFonts w:ascii="Arial" w:hAnsi="Arial" w:cs="Arial"/>
              </w:rPr>
            </w:pPr>
            <w:r w:rsidRPr="0097216D">
              <w:rPr>
                <w:rFonts w:ascii="Arial" w:hAnsi="Arial" w:cs="Arial"/>
              </w:rPr>
              <w:t>A paragraph included in the auditor's report that is required by GAAS, or is included at the auditor's discretion, and that refers to a matter other than those presented or disclosed in the financial statements that, in the auditor's professional judgment, is relevant to users' understanding of the audit, the auditor's responsibilities, or the auditor's report.</w:t>
            </w:r>
          </w:p>
        </w:tc>
      </w:tr>
      <w:tr w:rsidR="007D03FA" w:rsidRPr="00166622" w14:paraId="7C52F66B" w14:textId="77777777" w:rsidTr="00453A1F">
        <w:trPr>
          <w:trHeight w:val="288"/>
        </w:trPr>
        <w:tc>
          <w:tcPr>
            <w:tcW w:w="3600" w:type="dxa"/>
          </w:tcPr>
          <w:p w14:paraId="66E0F837" w14:textId="77777777" w:rsidR="007D03FA" w:rsidRPr="00166622" w:rsidRDefault="007D03FA" w:rsidP="007D03FA">
            <w:pPr>
              <w:pStyle w:val="Table-Head-Left"/>
              <w:spacing w:before="120" w:after="120"/>
              <w:rPr>
                <w:rFonts w:ascii="Arial" w:hAnsi="Arial" w:cs="Arial"/>
                <w:highlight w:val="cyan"/>
              </w:rPr>
            </w:pPr>
            <w:r w:rsidRPr="00166622">
              <w:rPr>
                <w:rFonts w:ascii="Arial" w:hAnsi="Arial" w:cs="Arial"/>
              </w:rPr>
              <w:t>Overall analytical procedures</w:t>
            </w:r>
          </w:p>
        </w:tc>
        <w:tc>
          <w:tcPr>
            <w:tcW w:w="5760" w:type="dxa"/>
          </w:tcPr>
          <w:p w14:paraId="5F9F4626" w14:textId="77777777" w:rsidR="007D03FA" w:rsidRPr="00166622" w:rsidRDefault="007D03FA" w:rsidP="007D03FA">
            <w:pPr>
              <w:pStyle w:val="Table-Cell-Left"/>
              <w:spacing w:before="120" w:after="120"/>
              <w:rPr>
                <w:rFonts w:ascii="Arial" w:hAnsi="Arial" w:cs="Arial"/>
                <w:highlight w:val="cyan"/>
              </w:rPr>
            </w:pPr>
            <w:r w:rsidRPr="00166622">
              <w:rPr>
                <w:rFonts w:ascii="Arial" w:hAnsi="Arial" w:cs="Arial"/>
              </w:rPr>
              <w:t>Analytical procedures performed as an overall financial statement review during the reporting phase.</w:t>
            </w:r>
          </w:p>
        </w:tc>
      </w:tr>
      <w:tr w:rsidR="007D03FA" w:rsidRPr="00166622" w14:paraId="08056AFA" w14:textId="77777777" w:rsidTr="00453A1F">
        <w:trPr>
          <w:trHeight w:val="288"/>
        </w:trPr>
        <w:tc>
          <w:tcPr>
            <w:tcW w:w="3600" w:type="dxa"/>
          </w:tcPr>
          <w:p w14:paraId="15C4662D" w14:textId="77777777" w:rsidR="007D03FA" w:rsidRPr="00166622" w:rsidRDefault="007D03FA" w:rsidP="007D03FA">
            <w:pPr>
              <w:pStyle w:val="Table-Head-Left"/>
              <w:spacing w:before="120" w:after="120"/>
              <w:rPr>
                <w:rFonts w:ascii="Arial" w:hAnsi="Arial" w:cs="Arial"/>
              </w:rPr>
            </w:pPr>
            <w:r>
              <w:rPr>
                <w:rFonts w:ascii="Arial" w:hAnsi="Arial" w:cs="Arial"/>
              </w:rPr>
              <w:t>Overall audit strategy</w:t>
            </w:r>
          </w:p>
        </w:tc>
        <w:tc>
          <w:tcPr>
            <w:tcW w:w="5760" w:type="dxa"/>
          </w:tcPr>
          <w:p w14:paraId="2A909734" w14:textId="77777777" w:rsidR="007D03FA" w:rsidRPr="00166622" w:rsidRDefault="007D03FA" w:rsidP="007D03FA">
            <w:pPr>
              <w:pStyle w:val="Table-Cell-Left"/>
              <w:spacing w:before="120" w:after="120"/>
              <w:rPr>
                <w:rFonts w:ascii="Arial" w:hAnsi="Arial" w:cs="Arial"/>
              </w:rPr>
            </w:pPr>
            <w:r>
              <w:rPr>
                <w:rFonts w:ascii="Arial" w:hAnsi="Arial" w:cs="Arial"/>
              </w:rPr>
              <w:t xml:space="preserve">In developing the strategy, </w:t>
            </w:r>
            <w:r w:rsidRPr="00C96D6C">
              <w:rPr>
                <w:rFonts w:ascii="Arial" w:hAnsi="Arial" w:cs="Arial"/>
              </w:rPr>
              <w:t xml:space="preserve">the auditor should (1) identify the characteristics of the engagement that define its scope; (2) ascertain the reporting </w:t>
            </w:r>
            <w:r w:rsidRPr="00C96D6C">
              <w:rPr>
                <w:rFonts w:ascii="Arial" w:hAnsi="Arial" w:cs="Arial"/>
              </w:rPr>
              <w:lastRenderedPageBreak/>
              <w:t>objectives of the engagement in order to plan the timing of the audit and the nature of the communications required; (3) consider the factors that in the auditor’s professional judgment, are significant in directing the engagement team’s efforts; and (4) ascertain the nature, timing, and extent of resources necessary to perform the engagement.</w:t>
            </w:r>
          </w:p>
        </w:tc>
      </w:tr>
      <w:tr w:rsidR="007D03FA" w:rsidRPr="00166622" w14:paraId="43A10A16" w14:textId="77777777" w:rsidTr="00453A1F">
        <w:trPr>
          <w:trHeight w:val="288"/>
        </w:trPr>
        <w:tc>
          <w:tcPr>
            <w:tcW w:w="3600" w:type="dxa"/>
          </w:tcPr>
          <w:p w14:paraId="52E5BE6E" w14:textId="77777777" w:rsidR="007D03FA" w:rsidRPr="00166622" w:rsidRDefault="007D03FA" w:rsidP="007D03FA">
            <w:pPr>
              <w:pStyle w:val="Table-Head-Left"/>
              <w:spacing w:before="120" w:after="120"/>
              <w:rPr>
                <w:rFonts w:ascii="Arial" w:hAnsi="Arial" w:cs="Arial"/>
              </w:rPr>
            </w:pPr>
            <w:r w:rsidRPr="00166622">
              <w:rPr>
                <w:rFonts w:ascii="Arial" w:hAnsi="Arial" w:cs="Arial"/>
              </w:rPr>
              <w:lastRenderedPageBreak/>
              <w:t>Performance and Accountability Report (PAR)</w:t>
            </w:r>
          </w:p>
        </w:tc>
        <w:tc>
          <w:tcPr>
            <w:tcW w:w="5760" w:type="dxa"/>
          </w:tcPr>
          <w:p w14:paraId="52C751FC" w14:textId="77777777" w:rsidR="007D03FA" w:rsidRPr="00166622" w:rsidRDefault="007D03FA" w:rsidP="007D03FA">
            <w:pPr>
              <w:pStyle w:val="Table-Cell-Left"/>
              <w:spacing w:before="120" w:after="120"/>
              <w:rPr>
                <w:rFonts w:ascii="Arial" w:hAnsi="Arial" w:cs="Arial"/>
              </w:rPr>
            </w:pPr>
            <w:r w:rsidRPr="00166622">
              <w:rPr>
                <w:rFonts w:ascii="Arial" w:hAnsi="Arial" w:cs="Arial"/>
              </w:rPr>
              <w:t xml:space="preserve">See annual financial </w:t>
            </w:r>
            <w:r>
              <w:rPr>
                <w:rFonts w:ascii="Arial" w:hAnsi="Arial" w:cs="Arial"/>
              </w:rPr>
              <w:t>statement.</w:t>
            </w:r>
          </w:p>
        </w:tc>
      </w:tr>
      <w:tr w:rsidR="007D03FA" w:rsidRPr="00166622" w14:paraId="1ED786BA" w14:textId="77777777" w:rsidTr="00453A1F">
        <w:trPr>
          <w:trHeight w:val="288"/>
        </w:trPr>
        <w:tc>
          <w:tcPr>
            <w:tcW w:w="3600" w:type="dxa"/>
            <w:shd w:val="clear" w:color="auto" w:fill="auto"/>
          </w:tcPr>
          <w:p w14:paraId="140CCA28" w14:textId="77777777" w:rsidR="007D03FA" w:rsidRPr="0097216D" w:rsidRDefault="007D03FA" w:rsidP="007D03FA">
            <w:pPr>
              <w:pStyle w:val="Table-Head-Left"/>
              <w:spacing w:before="120" w:after="120"/>
              <w:rPr>
                <w:rFonts w:ascii="Arial" w:hAnsi="Arial" w:cs="Arial"/>
              </w:rPr>
            </w:pPr>
            <w:r w:rsidRPr="0097216D">
              <w:rPr>
                <w:rFonts w:ascii="Arial" w:hAnsi="Arial" w:cs="Arial"/>
              </w:rPr>
              <w:t>Performance materiality</w:t>
            </w:r>
          </w:p>
        </w:tc>
        <w:tc>
          <w:tcPr>
            <w:tcW w:w="5760" w:type="dxa"/>
            <w:shd w:val="clear" w:color="auto" w:fill="auto"/>
          </w:tcPr>
          <w:p w14:paraId="49B4240B" w14:textId="77777777" w:rsidR="007D03FA" w:rsidRPr="0097216D" w:rsidRDefault="007D03FA" w:rsidP="007D03FA">
            <w:pPr>
              <w:pStyle w:val="Table-Cell-Left"/>
              <w:spacing w:before="120" w:after="120"/>
              <w:rPr>
                <w:rFonts w:ascii="Arial" w:hAnsi="Arial" w:cs="Arial"/>
              </w:rPr>
            </w:pPr>
            <w:r>
              <w:rPr>
                <w:rFonts w:ascii="Arial" w:hAnsi="Arial" w:cs="Arial"/>
              </w:rPr>
              <w:t>T</w:t>
            </w:r>
            <w:r w:rsidRPr="00C6424C">
              <w:rPr>
                <w:rFonts w:ascii="Arial" w:hAnsi="Arial" w:cs="Arial"/>
              </w:rPr>
              <w:t>he amount or amounts set by the auditor as a portion of materiality that the auditor allocates to particular line items, accounts, classes of transactions (such as disbursements), or disclosures.</w:t>
            </w:r>
          </w:p>
        </w:tc>
      </w:tr>
      <w:tr w:rsidR="007D03FA" w:rsidRPr="00166622" w14:paraId="7C197B4B" w14:textId="77777777" w:rsidTr="00453A1F">
        <w:trPr>
          <w:trHeight w:val="288"/>
        </w:trPr>
        <w:tc>
          <w:tcPr>
            <w:tcW w:w="3600" w:type="dxa"/>
          </w:tcPr>
          <w:p w14:paraId="4D58410C" w14:textId="77777777" w:rsidR="007D03FA" w:rsidRPr="0097216D" w:rsidRDefault="007D03FA" w:rsidP="007D03FA">
            <w:pPr>
              <w:pStyle w:val="Table-Head-Left"/>
              <w:spacing w:before="120" w:after="120"/>
              <w:rPr>
                <w:rFonts w:ascii="Arial" w:hAnsi="Arial" w:cs="Arial"/>
              </w:rPr>
            </w:pPr>
            <w:r>
              <w:rPr>
                <w:rFonts w:ascii="Arial" w:hAnsi="Arial" w:cs="Arial"/>
              </w:rPr>
              <w:t>Planning phase</w:t>
            </w:r>
          </w:p>
        </w:tc>
        <w:tc>
          <w:tcPr>
            <w:tcW w:w="5760" w:type="dxa"/>
          </w:tcPr>
          <w:p w14:paraId="4DC43B08" w14:textId="77777777" w:rsidR="007D03FA" w:rsidRPr="0097216D" w:rsidRDefault="007D03FA" w:rsidP="007D03FA">
            <w:pPr>
              <w:pStyle w:val="Table-Cell-Left"/>
              <w:spacing w:before="120" w:after="120"/>
              <w:rPr>
                <w:rFonts w:ascii="Arial" w:hAnsi="Arial" w:cs="Arial"/>
              </w:rPr>
            </w:pPr>
            <w:r>
              <w:rPr>
                <w:rFonts w:ascii="Arial" w:hAnsi="Arial" w:cs="Arial"/>
              </w:rPr>
              <w:t>T</w:t>
            </w:r>
            <w:r w:rsidRPr="00876394">
              <w:rPr>
                <w:rFonts w:ascii="Arial" w:hAnsi="Arial" w:cs="Arial"/>
              </w:rPr>
              <w:t xml:space="preserve">he objectives of this </w:t>
            </w:r>
            <w:r>
              <w:rPr>
                <w:rFonts w:ascii="Arial" w:hAnsi="Arial" w:cs="Arial"/>
              </w:rPr>
              <w:t xml:space="preserve">audit </w:t>
            </w:r>
            <w:r w:rsidRPr="00876394">
              <w:rPr>
                <w:rFonts w:ascii="Arial" w:hAnsi="Arial" w:cs="Arial"/>
              </w:rPr>
              <w:t>phase are to gain an understanding of the entity to be audited; to understand its environment, including internal control; to identify significant areas for audit; and to design effective and efficient audit procedures.</w:t>
            </w:r>
          </w:p>
        </w:tc>
      </w:tr>
      <w:tr w:rsidR="007D03FA" w:rsidRPr="00166622" w14:paraId="09FCFD31" w14:textId="77777777" w:rsidTr="00453A1F">
        <w:trPr>
          <w:trHeight w:val="288"/>
        </w:trPr>
        <w:tc>
          <w:tcPr>
            <w:tcW w:w="3600" w:type="dxa"/>
          </w:tcPr>
          <w:p w14:paraId="789BE0D5" w14:textId="77777777" w:rsidR="007D03FA" w:rsidRPr="0097216D" w:rsidRDefault="007D03FA" w:rsidP="007D03FA">
            <w:pPr>
              <w:pStyle w:val="Table-Head-Left"/>
              <w:spacing w:before="120" w:after="120"/>
              <w:rPr>
                <w:rFonts w:ascii="Arial" w:hAnsi="Arial" w:cs="Arial"/>
              </w:rPr>
            </w:pPr>
            <w:r w:rsidRPr="0097216D">
              <w:rPr>
                <w:rFonts w:ascii="Arial" w:hAnsi="Arial" w:cs="Arial"/>
              </w:rPr>
              <w:t>Point estimate</w:t>
            </w:r>
          </w:p>
        </w:tc>
        <w:tc>
          <w:tcPr>
            <w:tcW w:w="5760" w:type="dxa"/>
          </w:tcPr>
          <w:p w14:paraId="0F0D3D7F" w14:textId="77777777" w:rsidR="007D03FA" w:rsidRPr="0097216D" w:rsidRDefault="007D03FA" w:rsidP="007D03FA">
            <w:pPr>
              <w:pStyle w:val="Table-Cell-Left"/>
              <w:spacing w:before="120" w:after="120"/>
              <w:rPr>
                <w:rFonts w:ascii="Arial" w:hAnsi="Arial" w:cs="Arial"/>
              </w:rPr>
            </w:pPr>
            <w:r w:rsidRPr="0097216D">
              <w:rPr>
                <w:rFonts w:ascii="Arial" w:hAnsi="Arial" w:cs="Arial"/>
              </w:rPr>
              <w:t>Most likely amount of the population characteristic based on the extrapolation of the sample results</w:t>
            </w:r>
            <w:r>
              <w:rPr>
                <w:rFonts w:ascii="Arial" w:hAnsi="Arial" w:cs="Arial"/>
              </w:rPr>
              <w:t>.</w:t>
            </w:r>
          </w:p>
        </w:tc>
      </w:tr>
      <w:tr w:rsidR="007D03FA" w:rsidRPr="00166622" w14:paraId="1DE61D2D" w14:textId="77777777" w:rsidTr="00453A1F">
        <w:trPr>
          <w:trHeight w:val="288"/>
        </w:trPr>
        <w:tc>
          <w:tcPr>
            <w:tcW w:w="3600" w:type="dxa"/>
          </w:tcPr>
          <w:p w14:paraId="498A024A" w14:textId="77777777" w:rsidR="007D03FA" w:rsidRPr="0097216D" w:rsidRDefault="007D03FA" w:rsidP="007D03FA">
            <w:pPr>
              <w:pStyle w:val="Table-Head-Left"/>
              <w:spacing w:before="120" w:after="120"/>
              <w:rPr>
                <w:rFonts w:ascii="Arial" w:hAnsi="Arial" w:cs="Arial"/>
              </w:rPr>
            </w:pPr>
            <w:r w:rsidRPr="0097216D">
              <w:rPr>
                <w:rFonts w:ascii="Arial" w:hAnsi="Arial" w:cs="Arial"/>
              </w:rPr>
              <w:t>Population</w:t>
            </w:r>
          </w:p>
        </w:tc>
        <w:tc>
          <w:tcPr>
            <w:tcW w:w="5760" w:type="dxa"/>
          </w:tcPr>
          <w:p w14:paraId="4E86A148" w14:textId="77777777" w:rsidR="007D03FA" w:rsidRPr="0097216D" w:rsidRDefault="007D03FA" w:rsidP="007D03FA">
            <w:pPr>
              <w:pStyle w:val="Table-Cell-Left"/>
              <w:spacing w:before="120" w:after="120"/>
              <w:rPr>
                <w:rFonts w:ascii="Arial" w:hAnsi="Arial" w:cs="Arial"/>
              </w:rPr>
            </w:pPr>
            <w:r w:rsidRPr="0097216D">
              <w:rPr>
                <w:rFonts w:ascii="Arial" w:hAnsi="Arial" w:cs="Arial"/>
              </w:rPr>
              <w:t>The entire set of data from which a sample is selected and about which the auditor wishes to draw conclusions.</w:t>
            </w:r>
          </w:p>
        </w:tc>
      </w:tr>
      <w:tr w:rsidR="007D03FA" w:rsidRPr="00166622" w14:paraId="336C1E3E" w14:textId="77777777" w:rsidTr="00453A1F">
        <w:trPr>
          <w:trHeight w:val="288"/>
        </w:trPr>
        <w:tc>
          <w:tcPr>
            <w:tcW w:w="3600" w:type="dxa"/>
          </w:tcPr>
          <w:p w14:paraId="1FFA0EE8" w14:textId="77777777" w:rsidR="007D03FA" w:rsidRPr="0097216D" w:rsidRDefault="007D03FA" w:rsidP="007D03FA">
            <w:pPr>
              <w:pStyle w:val="Table-Head-Left"/>
              <w:spacing w:before="120" w:after="120"/>
              <w:rPr>
                <w:rFonts w:ascii="Arial" w:hAnsi="Arial" w:cs="Arial"/>
              </w:rPr>
            </w:pPr>
            <w:r w:rsidRPr="0097216D">
              <w:rPr>
                <w:rFonts w:ascii="Arial" w:hAnsi="Arial" w:cs="Arial"/>
              </w:rPr>
              <w:t>Precision (allowance for sampling risk)</w:t>
            </w:r>
          </w:p>
        </w:tc>
        <w:tc>
          <w:tcPr>
            <w:tcW w:w="5760" w:type="dxa"/>
          </w:tcPr>
          <w:p w14:paraId="571A9FAA" w14:textId="77777777" w:rsidR="007D03FA" w:rsidRPr="0097216D" w:rsidRDefault="007D03FA" w:rsidP="007D03FA">
            <w:pPr>
              <w:pStyle w:val="Table-Cell-Left"/>
              <w:spacing w:before="120" w:after="120"/>
              <w:rPr>
                <w:rFonts w:ascii="Arial" w:hAnsi="Arial" w:cs="Arial"/>
              </w:rPr>
            </w:pPr>
            <w:r w:rsidRPr="0097216D">
              <w:rPr>
                <w:rFonts w:ascii="Arial" w:hAnsi="Arial" w:cs="Arial"/>
              </w:rPr>
              <w:t>A measure of the difference between a sample estimate (projection) and the tolerable rate of deviation or tolerable misstatement at a specified sampling risk.</w:t>
            </w:r>
          </w:p>
        </w:tc>
      </w:tr>
      <w:tr w:rsidR="007D03FA" w:rsidRPr="00166622" w14:paraId="65742945" w14:textId="77777777" w:rsidTr="00453A1F">
        <w:trPr>
          <w:trHeight w:val="288"/>
        </w:trPr>
        <w:tc>
          <w:tcPr>
            <w:tcW w:w="3600" w:type="dxa"/>
          </w:tcPr>
          <w:p w14:paraId="55D0F010" w14:textId="77777777" w:rsidR="007D03FA" w:rsidRPr="00166622" w:rsidRDefault="007D03FA" w:rsidP="007D03FA">
            <w:pPr>
              <w:pStyle w:val="Table-Head-Left"/>
              <w:spacing w:before="120" w:after="120"/>
              <w:rPr>
                <w:rFonts w:ascii="Arial" w:hAnsi="Arial" w:cs="Arial"/>
              </w:rPr>
            </w:pPr>
            <w:r w:rsidRPr="00166622">
              <w:rPr>
                <w:rFonts w:ascii="Arial" w:hAnsi="Arial" w:cs="Arial"/>
              </w:rPr>
              <w:t>Preliminary analytical procedures</w:t>
            </w:r>
          </w:p>
        </w:tc>
        <w:tc>
          <w:tcPr>
            <w:tcW w:w="5760" w:type="dxa"/>
          </w:tcPr>
          <w:p w14:paraId="4B9670DA" w14:textId="77777777" w:rsidR="007D03FA" w:rsidRPr="00166622" w:rsidRDefault="007D03FA" w:rsidP="007D03FA">
            <w:pPr>
              <w:pStyle w:val="Table-Cell-Left"/>
              <w:spacing w:before="120" w:after="120"/>
              <w:rPr>
                <w:rFonts w:ascii="Arial" w:hAnsi="Arial" w:cs="Arial"/>
              </w:rPr>
            </w:pPr>
            <w:r w:rsidRPr="00166622">
              <w:rPr>
                <w:rFonts w:ascii="Arial" w:hAnsi="Arial" w:cs="Arial"/>
              </w:rPr>
              <w:t>Analytical procedures performed d</w:t>
            </w:r>
            <w:r>
              <w:rPr>
                <w:rFonts w:ascii="Arial" w:hAnsi="Arial" w:cs="Arial"/>
              </w:rPr>
              <w:t>uring the audit planning phase.</w:t>
            </w:r>
          </w:p>
        </w:tc>
      </w:tr>
      <w:tr w:rsidR="007D03FA" w:rsidRPr="00166622" w14:paraId="377F1CF1" w14:textId="77777777" w:rsidTr="00453A1F">
        <w:trPr>
          <w:trHeight w:val="288"/>
        </w:trPr>
        <w:tc>
          <w:tcPr>
            <w:tcW w:w="3600" w:type="dxa"/>
          </w:tcPr>
          <w:p w14:paraId="3460203F" w14:textId="77777777" w:rsidR="007D03FA" w:rsidRPr="00166622" w:rsidRDefault="007D03FA" w:rsidP="007D03FA">
            <w:pPr>
              <w:pStyle w:val="Table-Head-Left"/>
              <w:spacing w:before="120" w:after="120"/>
              <w:rPr>
                <w:rFonts w:ascii="Arial" w:hAnsi="Arial" w:cs="Arial"/>
              </w:rPr>
            </w:pPr>
            <w:r>
              <w:rPr>
                <w:rFonts w:ascii="Arial" w:hAnsi="Arial" w:cs="Arial"/>
              </w:rPr>
              <w:t>Presentation and disclosure</w:t>
            </w:r>
          </w:p>
        </w:tc>
        <w:tc>
          <w:tcPr>
            <w:tcW w:w="5760" w:type="dxa"/>
          </w:tcPr>
          <w:p w14:paraId="66C1E51B" w14:textId="77777777" w:rsidR="007D03FA" w:rsidRDefault="007D03FA" w:rsidP="007D03FA">
            <w:pPr>
              <w:pStyle w:val="Table-Cell-Left"/>
              <w:spacing w:before="120" w:after="120"/>
              <w:rPr>
                <w:rFonts w:ascii="Arial" w:hAnsi="Arial" w:cs="Arial"/>
              </w:rPr>
            </w:pPr>
            <w:r w:rsidRPr="00D845AA">
              <w:rPr>
                <w:rFonts w:ascii="Arial" w:hAnsi="Arial" w:cs="Arial"/>
              </w:rPr>
              <w:t>The financial and other information in the financial statements is appropriately presented and described, and disclosures are clearly expressed. All disclosures that should have been included in the financial statements have been included. Disclosed events, transactions, and other matters have occu</w:t>
            </w:r>
            <w:r>
              <w:rPr>
                <w:rFonts w:ascii="Arial" w:hAnsi="Arial" w:cs="Arial"/>
              </w:rPr>
              <w:t>rred and pertain to the entity.</w:t>
            </w:r>
          </w:p>
        </w:tc>
      </w:tr>
      <w:tr w:rsidR="007D03FA" w:rsidRPr="00166622" w14:paraId="3D36ADE0" w14:textId="77777777" w:rsidTr="00453A1F">
        <w:trPr>
          <w:trHeight w:val="288"/>
        </w:trPr>
        <w:tc>
          <w:tcPr>
            <w:tcW w:w="3600" w:type="dxa"/>
            <w:shd w:val="clear" w:color="auto" w:fill="auto"/>
          </w:tcPr>
          <w:p w14:paraId="2286251E" w14:textId="77777777" w:rsidR="007D03FA" w:rsidRPr="00166622" w:rsidRDefault="007D03FA" w:rsidP="007D03FA">
            <w:pPr>
              <w:pStyle w:val="Table-Head-Left"/>
              <w:spacing w:before="120" w:after="120"/>
              <w:rPr>
                <w:rFonts w:ascii="Arial" w:hAnsi="Arial" w:cs="Arial"/>
              </w:rPr>
            </w:pPr>
            <w:r w:rsidRPr="00166622">
              <w:rPr>
                <w:rFonts w:ascii="Arial" w:hAnsi="Arial" w:cs="Arial"/>
              </w:rPr>
              <w:t xml:space="preserve">Principal statements </w:t>
            </w:r>
          </w:p>
        </w:tc>
        <w:tc>
          <w:tcPr>
            <w:tcW w:w="5760" w:type="dxa"/>
            <w:shd w:val="clear" w:color="auto" w:fill="auto"/>
          </w:tcPr>
          <w:p w14:paraId="0F4AA207" w14:textId="77777777" w:rsidR="007D03FA" w:rsidRPr="00166622" w:rsidRDefault="007D03FA" w:rsidP="007D03FA">
            <w:pPr>
              <w:pStyle w:val="Table-Cell-Left"/>
              <w:spacing w:before="120" w:after="120"/>
              <w:rPr>
                <w:rFonts w:ascii="Arial" w:hAnsi="Arial" w:cs="Arial"/>
              </w:rPr>
            </w:pPr>
            <w:r>
              <w:rPr>
                <w:rFonts w:ascii="Arial" w:hAnsi="Arial" w:cs="Arial"/>
              </w:rPr>
              <w:t>See financial statements.</w:t>
            </w:r>
          </w:p>
        </w:tc>
      </w:tr>
      <w:tr w:rsidR="007D03FA" w:rsidRPr="00166622" w14:paraId="48B02B95" w14:textId="77777777" w:rsidTr="00453A1F">
        <w:trPr>
          <w:trHeight w:val="288"/>
        </w:trPr>
        <w:tc>
          <w:tcPr>
            <w:tcW w:w="3600" w:type="dxa"/>
          </w:tcPr>
          <w:p w14:paraId="75B94137" w14:textId="77777777" w:rsidR="007D03FA" w:rsidRPr="0097216D" w:rsidRDefault="007D03FA" w:rsidP="007D03FA">
            <w:pPr>
              <w:pStyle w:val="Table-Head-Left"/>
              <w:spacing w:before="120" w:after="120"/>
              <w:rPr>
                <w:rFonts w:ascii="Arial" w:hAnsi="Arial" w:cs="Arial"/>
              </w:rPr>
            </w:pPr>
            <w:r w:rsidRPr="0097216D">
              <w:rPr>
                <w:rFonts w:ascii="Arial" w:hAnsi="Arial" w:cs="Arial"/>
              </w:rPr>
              <w:lastRenderedPageBreak/>
              <w:t>Probable</w:t>
            </w:r>
          </w:p>
        </w:tc>
        <w:tc>
          <w:tcPr>
            <w:tcW w:w="5760" w:type="dxa"/>
          </w:tcPr>
          <w:p w14:paraId="5F07C8D3" w14:textId="60021F35" w:rsidR="007D03FA" w:rsidRPr="0097216D" w:rsidRDefault="007D03FA" w:rsidP="007D03FA">
            <w:pPr>
              <w:pStyle w:val="Table-Cell-Left"/>
              <w:spacing w:before="120" w:after="120"/>
              <w:rPr>
                <w:rFonts w:ascii="Arial" w:hAnsi="Arial" w:cs="Arial"/>
              </w:rPr>
            </w:pPr>
            <w:r w:rsidRPr="0097216D">
              <w:rPr>
                <w:rFonts w:ascii="Arial" w:hAnsi="Arial" w:cs="Arial"/>
              </w:rPr>
              <w:t>In evaluating a contingency for pending or threatened litigation and unasserted claims, a future confirming event(s</w:t>
            </w:r>
            <w:r w:rsidR="00D72A1A">
              <w:rPr>
                <w:rFonts w:ascii="Arial" w:hAnsi="Arial" w:cs="Arial"/>
              </w:rPr>
              <w:t>) occurring is likely to occur.</w:t>
            </w:r>
            <w:r w:rsidRPr="0097216D">
              <w:rPr>
                <w:rFonts w:ascii="Arial" w:hAnsi="Arial" w:cs="Arial"/>
              </w:rPr>
              <w:t xml:space="preserve"> For other contingencies, the future event or events are more likely than not to occur</w:t>
            </w:r>
            <w:r>
              <w:rPr>
                <w:rFonts w:ascii="Arial" w:hAnsi="Arial" w:cs="Arial"/>
              </w:rPr>
              <w:t>.</w:t>
            </w:r>
          </w:p>
        </w:tc>
      </w:tr>
      <w:tr w:rsidR="007D03FA" w:rsidRPr="00166622" w14:paraId="50E48B48" w14:textId="77777777" w:rsidTr="00453A1F">
        <w:trPr>
          <w:trHeight w:val="288"/>
        </w:trPr>
        <w:tc>
          <w:tcPr>
            <w:tcW w:w="3600" w:type="dxa"/>
          </w:tcPr>
          <w:p w14:paraId="2984C04F" w14:textId="77777777" w:rsidR="007D03FA" w:rsidRPr="0097216D" w:rsidRDefault="007D03FA" w:rsidP="007D03FA">
            <w:pPr>
              <w:pStyle w:val="Table-Head-Left"/>
              <w:spacing w:before="120" w:after="120"/>
              <w:rPr>
                <w:rFonts w:ascii="Arial" w:hAnsi="Arial" w:cs="Arial"/>
              </w:rPr>
            </w:pPr>
            <w:r w:rsidRPr="0097216D">
              <w:rPr>
                <w:rFonts w:ascii="Arial" w:hAnsi="Arial" w:cs="Arial"/>
              </w:rPr>
              <w:t>Professional judgment</w:t>
            </w:r>
          </w:p>
          <w:p w14:paraId="64D24D9F" w14:textId="77777777" w:rsidR="007D03FA" w:rsidRPr="0097216D" w:rsidRDefault="007D03FA" w:rsidP="007D03FA">
            <w:pPr>
              <w:pStyle w:val="Table-Head-Left"/>
              <w:spacing w:before="120" w:after="120"/>
              <w:rPr>
                <w:rFonts w:ascii="Arial" w:hAnsi="Arial" w:cs="Arial"/>
              </w:rPr>
            </w:pPr>
          </w:p>
          <w:p w14:paraId="72F8AC11" w14:textId="77777777" w:rsidR="007D03FA" w:rsidRPr="0097216D" w:rsidRDefault="007D03FA" w:rsidP="007D03FA">
            <w:pPr>
              <w:pStyle w:val="Table-Head-Left"/>
              <w:spacing w:before="120" w:after="120"/>
              <w:rPr>
                <w:rFonts w:ascii="Arial" w:hAnsi="Arial" w:cs="Arial"/>
              </w:rPr>
            </w:pPr>
          </w:p>
          <w:p w14:paraId="48EE0A2D" w14:textId="77777777" w:rsidR="007D03FA" w:rsidRPr="0097216D" w:rsidRDefault="007D03FA" w:rsidP="007D03FA">
            <w:pPr>
              <w:pStyle w:val="Table-Head-Left"/>
              <w:spacing w:before="120" w:after="120"/>
              <w:rPr>
                <w:rFonts w:ascii="Arial" w:hAnsi="Arial" w:cs="Arial"/>
              </w:rPr>
            </w:pPr>
          </w:p>
        </w:tc>
        <w:tc>
          <w:tcPr>
            <w:tcW w:w="5760" w:type="dxa"/>
          </w:tcPr>
          <w:p w14:paraId="6F093FE1" w14:textId="77777777" w:rsidR="007D03FA" w:rsidRPr="0097216D" w:rsidRDefault="007D03FA" w:rsidP="007D03FA">
            <w:pPr>
              <w:pStyle w:val="Table-Cell-Left"/>
              <w:spacing w:before="120" w:after="120"/>
              <w:rPr>
                <w:rFonts w:ascii="Arial" w:hAnsi="Arial" w:cs="Arial"/>
              </w:rPr>
            </w:pPr>
            <w:r w:rsidRPr="0097216D">
              <w:rPr>
                <w:rFonts w:ascii="Arial" w:hAnsi="Arial" w:cs="Arial"/>
              </w:rPr>
              <w:t>The application of relevant training, knowledge, and experience, within the context provided by auditing, accounting, and ethical standards, in making informed decisions about the courses of action that are appropriate in the circumstances of the audit en</w:t>
            </w:r>
            <w:r>
              <w:rPr>
                <w:rFonts w:ascii="Arial" w:hAnsi="Arial" w:cs="Arial"/>
              </w:rPr>
              <w:t>gagement.</w:t>
            </w:r>
          </w:p>
        </w:tc>
      </w:tr>
      <w:tr w:rsidR="007D03FA" w:rsidRPr="00166622" w14:paraId="313690BD" w14:textId="77777777" w:rsidTr="00453A1F">
        <w:trPr>
          <w:trHeight w:val="288"/>
        </w:trPr>
        <w:tc>
          <w:tcPr>
            <w:tcW w:w="3600" w:type="dxa"/>
          </w:tcPr>
          <w:p w14:paraId="6AC01C66" w14:textId="77777777" w:rsidR="007D03FA" w:rsidRPr="0097216D" w:rsidRDefault="007D03FA" w:rsidP="007D03FA">
            <w:pPr>
              <w:pStyle w:val="Table-Head-Left"/>
              <w:spacing w:before="120" w:after="120"/>
              <w:rPr>
                <w:rFonts w:ascii="Arial" w:hAnsi="Arial" w:cs="Arial"/>
              </w:rPr>
            </w:pPr>
            <w:r w:rsidRPr="0097216D">
              <w:rPr>
                <w:rFonts w:ascii="Arial" w:hAnsi="Arial" w:cs="Arial"/>
              </w:rPr>
              <w:t>Professional skepticism</w:t>
            </w:r>
          </w:p>
          <w:p w14:paraId="670E6DB0" w14:textId="77777777" w:rsidR="007D03FA" w:rsidRPr="0097216D" w:rsidRDefault="007D03FA" w:rsidP="007D03FA">
            <w:pPr>
              <w:pStyle w:val="Table-Head-Left"/>
              <w:spacing w:before="120" w:after="120"/>
              <w:rPr>
                <w:rFonts w:ascii="Arial" w:hAnsi="Arial" w:cs="Arial"/>
              </w:rPr>
            </w:pPr>
          </w:p>
        </w:tc>
        <w:tc>
          <w:tcPr>
            <w:tcW w:w="5760" w:type="dxa"/>
          </w:tcPr>
          <w:p w14:paraId="2F92E3B6" w14:textId="77777777" w:rsidR="007D03FA" w:rsidRPr="0097216D" w:rsidRDefault="007D03FA" w:rsidP="007D03FA">
            <w:pPr>
              <w:pStyle w:val="Table-Cell-Left"/>
              <w:spacing w:before="120" w:after="120"/>
              <w:rPr>
                <w:rFonts w:ascii="Arial" w:hAnsi="Arial" w:cs="Arial"/>
              </w:rPr>
            </w:pPr>
            <w:r w:rsidRPr="0097216D">
              <w:rPr>
                <w:rFonts w:ascii="Arial" w:hAnsi="Arial" w:cs="Arial"/>
              </w:rPr>
              <w:t>An attitude that includes a questioning mind, being alert to conditions that may indicate possible misstatement due to fraud or error, and a critical assessment of audit evidence.</w:t>
            </w:r>
          </w:p>
        </w:tc>
      </w:tr>
      <w:tr w:rsidR="007D03FA" w:rsidRPr="00166622" w14:paraId="485E958E" w14:textId="77777777" w:rsidTr="00453A1F">
        <w:trPr>
          <w:trHeight w:val="288"/>
        </w:trPr>
        <w:tc>
          <w:tcPr>
            <w:tcW w:w="3600" w:type="dxa"/>
          </w:tcPr>
          <w:p w14:paraId="155B716A" w14:textId="77777777" w:rsidR="007D03FA" w:rsidRPr="0097216D" w:rsidRDefault="007D03FA" w:rsidP="007D03FA">
            <w:pPr>
              <w:pStyle w:val="Table-Head-Left"/>
              <w:spacing w:before="120" w:after="120"/>
              <w:rPr>
                <w:rFonts w:ascii="Arial" w:hAnsi="Arial" w:cs="Arial"/>
              </w:rPr>
            </w:pPr>
            <w:r w:rsidRPr="0097216D">
              <w:rPr>
                <w:rFonts w:ascii="Arial" w:hAnsi="Arial" w:cs="Arial"/>
              </w:rPr>
              <w:t>Projected misstatement</w:t>
            </w:r>
          </w:p>
        </w:tc>
        <w:tc>
          <w:tcPr>
            <w:tcW w:w="5760" w:type="dxa"/>
          </w:tcPr>
          <w:p w14:paraId="701A9F4F" w14:textId="77777777" w:rsidR="007D03FA" w:rsidRPr="0097216D" w:rsidRDefault="007D03FA" w:rsidP="007D03FA">
            <w:pPr>
              <w:pStyle w:val="Table-Cell-Left"/>
              <w:spacing w:before="120" w:after="120"/>
              <w:rPr>
                <w:rFonts w:ascii="Arial" w:hAnsi="Arial" w:cs="Arial"/>
              </w:rPr>
            </w:pPr>
            <w:r w:rsidRPr="0097216D">
              <w:rPr>
                <w:rFonts w:ascii="Arial" w:hAnsi="Arial" w:cs="Arial"/>
              </w:rPr>
              <w:t>The auditor’s best estimate of the amount of the misstatements in populations, involving the projection of misstatements identified in audit samples to the entire population from which the samples were drawn.</w:t>
            </w:r>
          </w:p>
        </w:tc>
      </w:tr>
      <w:tr w:rsidR="007D03FA" w:rsidRPr="00166622" w14:paraId="04A3F33F" w14:textId="77777777" w:rsidTr="00453A1F">
        <w:trPr>
          <w:trHeight w:val="288"/>
        </w:trPr>
        <w:tc>
          <w:tcPr>
            <w:tcW w:w="3600" w:type="dxa"/>
            <w:shd w:val="clear" w:color="auto" w:fill="auto"/>
          </w:tcPr>
          <w:p w14:paraId="6F9C4C2A" w14:textId="77777777" w:rsidR="007D03FA" w:rsidRPr="00166622" w:rsidRDefault="007D03FA" w:rsidP="007D03FA">
            <w:pPr>
              <w:pStyle w:val="Table-Head-Left"/>
              <w:spacing w:before="120" w:after="120"/>
              <w:rPr>
                <w:rFonts w:ascii="Arial" w:hAnsi="Arial" w:cs="Arial"/>
              </w:rPr>
            </w:pPr>
            <w:r w:rsidRPr="00166622">
              <w:rPr>
                <w:rFonts w:ascii="Arial" w:hAnsi="Arial" w:cs="Arial"/>
              </w:rPr>
              <w:t>Providing entity</w:t>
            </w:r>
          </w:p>
        </w:tc>
        <w:tc>
          <w:tcPr>
            <w:tcW w:w="5760" w:type="dxa"/>
            <w:shd w:val="clear" w:color="auto" w:fill="auto"/>
          </w:tcPr>
          <w:p w14:paraId="5A22D075" w14:textId="77777777" w:rsidR="007D03FA" w:rsidRPr="00166622" w:rsidRDefault="007D03FA" w:rsidP="007D03FA">
            <w:pPr>
              <w:pStyle w:val="Table-Cell-Left"/>
              <w:spacing w:before="120" w:after="120"/>
              <w:rPr>
                <w:rFonts w:ascii="Arial" w:hAnsi="Arial" w:cs="Arial"/>
              </w:rPr>
            </w:pPr>
            <w:r w:rsidRPr="00166622">
              <w:rPr>
                <w:rFonts w:ascii="Arial" w:hAnsi="Arial" w:cs="Arial"/>
              </w:rPr>
              <w:t>The entity providing services, products, goods, transfer funds, investments, debt, and/or incurring the reimbursable costs. This includes bureaus, departments, and/or programs within entities. The providing agency is the seller. The providing entity transfers out funds to another entity (transfers out) when appropriations are transferred without the exchange of goods or services.</w:t>
            </w:r>
          </w:p>
        </w:tc>
      </w:tr>
      <w:tr w:rsidR="007D03FA" w:rsidRPr="00166622" w14:paraId="08D179C1" w14:textId="77777777" w:rsidTr="00453A1F">
        <w:trPr>
          <w:trHeight w:val="288"/>
        </w:trPr>
        <w:tc>
          <w:tcPr>
            <w:tcW w:w="3600" w:type="dxa"/>
          </w:tcPr>
          <w:p w14:paraId="20B76A17" w14:textId="77777777" w:rsidR="007D03FA" w:rsidRPr="00AF716A" w:rsidRDefault="007D03FA" w:rsidP="007D03FA">
            <w:pPr>
              <w:pStyle w:val="Table-Head-Left"/>
              <w:spacing w:before="120" w:after="120"/>
              <w:rPr>
                <w:rFonts w:ascii="Arial" w:hAnsi="Arial" w:cs="Arial"/>
              </w:rPr>
            </w:pPr>
            <w:r>
              <w:rPr>
                <w:rFonts w:ascii="Arial" w:hAnsi="Arial" w:cs="Arial"/>
              </w:rPr>
              <w:t>Public-private partnerships (P3)</w:t>
            </w:r>
          </w:p>
        </w:tc>
        <w:tc>
          <w:tcPr>
            <w:tcW w:w="5760" w:type="dxa"/>
          </w:tcPr>
          <w:p w14:paraId="376DC2A8" w14:textId="7D39FF37" w:rsidR="007D03FA" w:rsidRPr="00AF716A" w:rsidRDefault="00D72A1A" w:rsidP="00D72A1A">
            <w:pPr>
              <w:autoSpaceDE w:val="0"/>
              <w:autoSpaceDN w:val="0"/>
              <w:adjustRightInd w:val="0"/>
              <w:spacing w:before="120" w:after="120"/>
              <w:rPr>
                <w:rFonts w:ascii="Arial" w:hAnsi="Arial" w:cs="Arial"/>
              </w:rPr>
            </w:pPr>
            <w:r>
              <w:rPr>
                <w:rFonts w:ascii="Arial" w:hAnsi="Arial" w:cs="Arial"/>
              </w:rPr>
              <w:t>Risk</w:t>
            </w:r>
            <w:r>
              <w:rPr>
                <w:rFonts w:ascii="Arial" w:hAnsi="Arial" w:cs="Arial"/>
              </w:rPr>
              <w:t>-</w:t>
            </w:r>
            <w:r w:rsidR="007D03FA">
              <w:rPr>
                <w:rFonts w:ascii="Arial" w:hAnsi="Arial" w:cs="Arial"/>
              </w:rPr>
              <w:t xml:space="preserve">sharing arrangements or transactions lasting more than </w:t>
            </w:r>
            <w:r>
              <w:rPr>
                <w:rFonts w:ascii="Arial" w:hAnsi="Arial" w:cs="Arial"/>
              </w:rPr>
              <w:t>5</w:t>
            </w:r>
            <w:r w:rsidR="007D03FA">
              <w:rPr>
                <w:rFonts w:ascii="Arial" w:hAnsi="Arial" w:cs="Arial"/>
              </w:rPr>
              <w:t xml:space="preserve"> years between public and private sector entities.</w:t>
            </w:r>
          </w:p>
        </w:tc>
      </w:tr>
      <w:tr w:rsidR="007D03FA" w:rsidRPr="00166622" w14:paraId="216E34B2" w14:textId="77777777" w:rsidTr="00453A1F">
        <w:trPr>
          <w:trHeight w:val="288"/>
        </w:trPr>
        <w:tc>
          <w:tcPr>
            <w:tcW w:w="3600" w:type="dxa"/>
          </w:tcPr>
          <w:p w14:paraId="6738A8F8" w14:textId="77777777" w:rsidR="007D03FA" w:rsidRPr="00AF716A" w:rsidRDefault="007D03FA" w:rsidP="007D03FA">
            <w:pPr>
              <w:pStyle w:val="Table-Head-Left"/>
              <w:spacing w:before="120" w:after="120"/>
              <w:rPr>
                <w:rFonts w:ascii="Arial" w:hAnsi="Arial" w:cs="Arial"/>
              </w:rPr>
            </w:pPr>
            <w:r w:rsidRPr="00AF716A">
              <w:rPr>
                <w:rFonts w:ascii="Arial" w:hAnsi="Arial" w:cs="Arial"/>
              </w:rPr>
              <w:t>Random sample</w:t>
            </w:r>
          </w:p>
        </w:tc>
        <w:tc>
          <w:tcPr>
            <w:tcW w:w="5760" w:type="dxa"/>
          </w:tcPr>
          <w:p w14:paraId="03B7135B" w14:textId="77777777" w:rsidR="007D03FA" w:rsidRPr="00AF716A" w:rsidRDefault="007D03FA" w:rsidP="007D03FA">
            <w:pPr>
              <w:autoSpaceDE w:val="0"/>
              <w:autoSpaceDN w:val="0"/>
              <w:adjustRightInd w:val="0"/>
              <w:spacing w:before="120" w:after="120"/>
              <w:rPr>
                <w:rFonts w:ascii="Arial" w:hAnsi="Arial" w:cs="Arial"/>
              </w:rPr>
            </w:pPr>
            <w:r w:rsidRPr="00AF716A">
              <w:rPr>
                <w:rFonts w:ascii="Arial" w:hAnsi="Arial" w:cs="Arial"/>
              </w:rPr>
              <w:t xml:space="preserve">A sample selected so that every combination of the same number of items has an equal probability of selection. </w:t>
            </w:r>
          </w:p>
        </w:tc>
      </w:tr>
      <w:tr w:rsidR="007D03FA" w:rsidRPr="00166622" w14:paraId="3C257F5A" w14:textId="77777777" w:rsidTr="00453A1F">
        <w:trPr>
          <w:trHeight w:val="288"/>
        </w:trPr>
        <w:tc>
          <w:tcPr>
            <w:tcW w:w="3600" w:type="dxa"/>
            <w:shd w:val="clear" w:color="auto" w:fill="auto"/>
          </w:tcPr>
          <w:p w14:paraId="1BE851B4" w14:textId="77777777" w:rsidR="007D03FA" w:rsidRPr="00AF716A" w:rsidRDefault="007D03FA" w:rsidP="007D03FA">
            <w:pPr>
              <w:pStyle w:val="Table-Head-Left"/>
              <w:spacing w:before="120" w:after="120"/>
              <w:rPr>
                <w:rFonts w:ascii="Arial" w:hAnsi="Arial" w:cs="Arial"/>
              </w:rPr>
            </w:pPr>
            <w:r w:rsidRPr="00AF716A">
              <w:rPr>
                <w:rFonts w:ascii="Arial" w:hAnsi="Arial" w:cs="Arial"/>
              </w:rPr>
              <w:t>Ratio estimation</w:t>
            </w:r>
          </w:p>
        </w:tc>
        <w:tc>
          <w:tcPr>
            <w:tcW w:w="5760" w:type="dxa"/>
            <w:shd w:val="clear" w:color="auto" w:fill="auto"/>
          </w:tcPr>
          <w:p w14:paraId="3A933358" w14:textId="77777777" w:rsidR="007D03FA" w:rsidRPr="00AF716A" w:rsidRDefault="007D03FA" w:rsidP="007D03FA">
            <w:pPr>
              <w:autoSpaceDE w:val="0"/>
              <w:autoSpaceDN w:val="0"/>
              <w:adjustRightInd w:val="0"/>
              <w:spacing w:before="120" w:after="120"/>
              <w:rPr>
                <w:rFonts w:ascii="Arial" w:hAnsi="Arial" w:cs="Arial"/>
              </w:rPr>
            </w:pPr>
            <w:r w:rsidRPr="00AF716A">
              <w:rPr>
                <w:rFonts w:ascii="Arial" w:hAnsi="Arial" w:cs="Arial"/>
              </w:rPr>
              <w:t>A classical variables sampling technique that uses the ratio of audited amounts to recorded amounts in the sample to estimate the total dollar amount of the population and an allowance for sampling risk.</w:t>
            </w:r>
          </w:p>
        </w:tc>
      </w:tr>
      <w:tr w:rsidR="007D03FA" w:rsidRPr="00166622" w14:paraId="6A32C865" w14:textId="77777777" w:rsidTr="00453A1F">
        <w:trPr>
          <w:trHeight w:val="288"/>
        </w:trPr>
        <w:tc>
          <w:tcPr>
            <w:tcW w:w="3600" w:type="dxa"/>
          </w:tcPr>
          <w:p w14:paraId="05936502" w14:textId="77777777" w:rsidR="007D03FA" w:rsidRPr="008407C5" w:rsidRDefault="007D03FA" w:rsidP="007D03FA">
            <w:pPr>
              <w:pStyle w:val="Table-Head-Left"/>
              <w:spacing w:before="120" w:after="120"/>
              <w:rPr>
                <w:rFonts w:ascii="Arial" w:hAnsi="Arial" w:cs="Arial"/>
              </w:rPr>
            </w:pPr>
            <w:r w:rsidRPr="008407C5">
              <w:rPr>
                <w:rFonts w:ascii="Arial" w:hAnsi="Arial" w:cs="Arial"/>
              </w:rPr>
              <w:lastRenderedPageBreak/>
              <w:t>Reasonable assurance</w:t>
            </w:r>
          </w:p>
        </w:tc>
        <w:tc>
          <w:tcPr>
            <w:tcW w:w="5760" w:type="dxa"/>
          </w:tcPr>
          <w:p w14:paraId="0296B1E1" w14:textId="77777777" w:rsidR="007D03FA" w:rsidRPr="008407C5" w:rsidRDefault="007D03FA" w:rsidP="007D03FA">
            <w:pPr>
              <w:pStyle w:val="Table-Cell-Left"/>
              <w:spacing w:before="120" w:after="120"/>
              <w:rPr>
                <w:rFonts w:ascii="Arial" w:hAnsi="Arial" w:cs="Arial"/>
              </w:rPr>
            </w:pPr>
            <w:r w:rsidRPr="008407C5">
              <w:rPr>
                <w:rFonts w:ascii="Arial" w:hAnsi="Arial" w:cs="Arial"/>
              </w:rPr>
              <w:t>In the context of an audit of financial statements, a high, but not absolute, level of assurance.</w:t>
            </w:r>
          </w:p>
        </w:tc>
      </w:tr>
      <w:tr w:rsidR="007D03FA" w:rsidRPr="00166622" w14:paraId="3E40F0C5" w14:textId="77777777" w:rsidTr="00453A1F">
        <w:trPr>
          <w:trHeight w:val="288"/>
        </w:trPr>
        <w:tc>
          <w:tcPr>
            <w:tcW w:w="3600" w:type="dxa"/>
          </w:tcPr>
          <w:p w14:paraId="393ECBB9" w14:textId="77777777" w:rsidR="007D03FA" w:rsidRPr="008407C5" w:rsidRDefault="007D03FA" w:rsidP="007D03FA">
            <w:pPr>
              <w:pStyle w:val="Table-Head-Left"/>
              <w:spacing w:before="120" w:after="120"/>
              <w:rPr>
                <w:rFonts w:ascii="Arial" w:hAnsi="Arial" w:cs="Arial"/>
              </w:rPr>
            </w:pPr>
            <w:r w:rsidRPr="008407C5">
              <w:rPr>
                <w:rFonts w:ascii="Arial" w:hAnsi="Arial" w:cs="Arial"/>
              </w:rPr>
              <w:t>Reasonably possible</w:t>
            </w:r>
          </w:p>
        </w:tc>
        <w:tc>
          <w:tcPr>
            <w:tcW w:w="5760" w:type="dxa"/>
          </w:tcPr>
          <w:p w14:paraId="391A3A72" w14:textId="77777777" w:rsidR="007D03FA" w:rsidRPr="008407C5" w:rsidRDefault="007D03FA" w:rsidP="007D03FA">
            <w:pPr>
              <w:pStyle w:val="Table-Cell-Left"/>
              <w:spacing w:before="120" w:after="120"/>
              <w:rPr>
                <w:rFonts w:ascii="Arial" w:hAnsi="Arial" w:cs="Arial"/>
              </w:rPr>
            </w:pPr>
            <w:r w:rsidRPr="008407C5">
              <w:rPr>
                <w:rFonts w:ascii="Arial" w:hAnsi="Arial" w:cs="Arial"/>
              </w:rPr>
              <w:t>The chance of the future event or events occurring is more than remote but less than probable.</w:t>
            </w:r>
          </w:p>
        </w:tc>
      </w:tr>
      <w:tr w:rsidR="007D03FA" w:rsidRPr="00166622" w14:paraId="156B1D44" w14:textId="77777777" w:rsidTr="00453A1F">
        <w:trPr>
          <w:trHeight w:val="288"/>
        </w:trPr>
        <w:tc>
          <w:tcPr>
            <w:tcW w:w="3600" w:type="dxa"/>
            <w:shd w:val="clear" w:color="auto" w:fill="auto"/>
          </w:tcPr>
          <w:p w14:paraId="5C6188BC" w14:textId="77777777" w:rsidR="007D03FA" w:rsidRPr="00166622" w:rsidRDefault="007D03FA" w:rsidP="007D03FA">
            <w:pPr>
              <w:pStyle w:val="Table-Head-Left"/>
              <w:spacing w:before="120" w:after="120"/>
              <w:rPr>
                <w:rFonts w:ascii="Arial" w:hAnsi="Arial" w:cs="Arial"/>
              </w:rPr>
            </w:pPr>
            <w:r w:rsidRPr="00166622">
              <w:rPr>
                <w:rFonts w:ascii="Arial" w:hAnsi="Arial" w:cs="Arial"/>
              </w:rPr>
              <w:t>Receiving entity</w:t>
            </w:r>
          </w:p>
        </w:tc>
        <w:tc>
          <w:tcPr>
            <w:tcW w:w="5760" w:type="dxa"/>
            <w:shd w:val="clear" w:color="auto" w:fill="auto"/>
          </w:tcPr>
          <w:p w14:paraId="24C785F7" w14:textId="77777777" w:rsidR="007D03FA" w:rsidRPr="00166622" w:rsidRDefault="007D03FA" w:rsidP="007D03FA">
            <w:pPr>
              <w:pStyle w:val="Table-Cell-Left"/>
              <w:spacing w:before="120" w:after="120"/>
              <w:rPr>
                <w:rFonts w:ascii="Arial" w:hAnsi="Arial" w:cs="Arial"/>
              </w:rPr>
            </w:pPr>
            <w:r w:rsidRPr="00166622">
              <w:rPr>
                <w:rFonts w:ascii="Arial" w:hAnsi="Arial" w:cs="Arial"/>
              </w:rPr>
              <w:t>The entity receiving services, products, goods, transfer funds, purchasing investments, and/or borrowing from Treasury (or other entities). This includes bureaus, departments, and/or programs within entities. The receiving entity is the purchaser. The receiving entity receives transfers of funds (transfers in) when appropriations are transferred without the</w:t>
            </w:r>
            <w:r>
              <w:rPr>
                <w:rFonts w:ascii="Arial" w:hAnsi="Arial" w:cs="Arial"/>
              </w:rPr>
              <w:t xml:space="preserve"> exchange of goods or services.</w:t>
            </w:r>
          </w:p>
        </w:tc>
      </w:tr>
      <w:tr w:rsidR="007D03FA" w:rsidRPr="00166622" w14:paraId="3E20D59D" w14:textId="77777777" w:rsidTr="00453A1F">
        <w:trPr>
          <w:trHeight w:val="288"/>
        </w:trPr>
        <w:tc>
          <w:tcPr>
            <w:tcW w:w="3600" w:type="dxa"/>
            <w:shd w:val="clear" w:color="auto" w:fill="auto"/>
          </w:tcPr>
          <w:p w14:paraId="494E6696" w14:textId="77777777" w:rsidR="007D03FA" w:rsidRPr="00166622" w:rsidRDefault="007D03FA" w:rsidP="007D03FA">
            <w:pPr>
              <w:pStyle w:val="Table-Head-Left"/>
              <w:spacing w:before="120" w:after="120"/>
              <w:rPr>
                <w:rFonts w:ascii="Arial" w:hAnsi="Arial" w:cs="Arial"/>
              </w:rPr>
            </w:pPr>
            <w:r w:rsidRPr="00166622">
              <w:rPr>
                <w:rFonts w:ascii="Arial" w:hAnsi="Arial" w:cs="Arial"/>
              </w:rPr>
              <w:t>Reciprocal accounts</w:t>
            </w:r>
          </w:p>
        </w:tc>
        <w:tc>
          <w:tcPr>
            <w:tcW w:w="5760" w:type="dxa"/>
            <w:shd w:val="clear" w:color="auto" w:fill="auto"/>
          </w:tcPr>
          <w:p w14:paraId="5FC25AC3" w14:textId="77777777" w:rsidR="007D03FA" w:rsidRPr="00166622" w:rsidRDefault="007D03FA" w:rsidP="007D03FA">
            <w:pPr>
              <w:pStyle w:val="Table-Cell-Left"/>
              <w:spacing w:before="120" w:after="120"/>
              <w:rPr>
                <w:rFonts w:ascii="Arial" w:hAnsi="Arial" w:cs="Arial"/>
              </w:rPr>
            </w:pPr>
            <w:r w:rsidRPr="00166622">
              <w:rPr>
                <w:rFonts w:ascii="Arial" w:hAnsi="Arial" w:cs="Arial"/>
              </w:rPr>
              <w:t>Corresponding SGL accounts that should be used by a providing/seller and receiving/buyer entity to record like intragovernmental transactions. For example, the providing entity’s accounts receivable would normally be reconciled to the reciprocal account, accounts payable, on the recei</w:t>
            </w:r>
            <w:r>
              <w:rPr>
                <w:rFonts w:ascii="Arial" w:hAnsi="Arial" w:cs="Arial"/>
              </w:rPr>
              <w:t>ving entity’s records.</w:t>
            </w:r>
          </w:p>
        </w:tc>
      </w:tr>
      <w:tr w:rsidR="007D03FA" w:rsidRPr="00166622" w14:paraId="5341D0D3" w14:textId="77777777" w:rsidTr="00453A1F">
        <w:trPr>
          <w:trHeight w:val="288"/>
        </w:trPr>
        <w:tc>
          <w:tcPr>
            <w:tcW w:w="3600" w:type="dxa"/>
            <w:shd w:val="clear" w:color="auto" w:fill="auto"/>
          </w:tcPr>
          <w:p w14:paraId="0CAFBBA9" w14:textId="77777777" w:rsidR="007D03FA" w:rsidRPr="008407C5" w:rsidRDefault="007D03FA" w:rsidP="007D03FA">
            <w:pPr>
              <w:pStyle w:val="Table-Head-Left"/>
              <w:spacing w:before="120" w:after="120"/>
              <w:rPr>
                <w:rFonts w:ascii="Arial" w:hAnsi="Arial" w:cs="Arial"/>
              </w:rPr>
            </w:pPr>
            <w:r w:rsidRPr="008407C5">
              <w:rPr>
                <w:rFonts w:ascii="Arial" w:hAnsi="Arial" w:cs="Arial"/>
              </w:rPr>
              <w:t>Recognized events</w:t>
            </w:r>
          </w:p>
        </w:tc>
        <w:tc>
          <w:tcPr>
            <w:tcW w:w="5760" w:type="dxa"/>
            <w:shd w:val="clear" w:color="auto" w:fill="auto"/>
          </w:tcPr>
          <w:p w14:paraId="4CBEEAC8" w14:textId="77777777" w:rsidR="007D03FA" w:rsidRPr="008407C5" w:rsidRDefault="007D03FA" w:rsidP="007D03FA">
            <w:pPr>
              <w:pStyle w:val="Table-Cell-Left"/>
              <w:spacing w:before="120" w:after="120"/>
              <w:rPr>
                <w:rFonts w:ascii="Arial" w:hAnsi="Arial" w:cs="Arial"/>
              </w:rPr>
            </w:pPr>
            <w:r w:rsidRPr="008407C5">
              <w:rPr>
                <w:rFonts w:ascii="Arial" w:hAnsi="Arial" w:cs="Arial"/>
              </w:rPr>
              <w:t>Subsequent events that provide additional evidence with respect to conditions that existed at the date of the financial statements and affect the estimates inherent in the process of preparing basic information and RSI.</w:t>
            </w:r>
          </w:p>
        </w:tc>
      </w:tr>
      <w:tr w:rsidR="007D03FA" w:rsidRPr="00166622" w14:paraId="5B8B4025" w14:textId="77777777" w:rsidTr="00453A1F">
        <w:trPr>
          <w:trHeight w:val="288"/>
        </w:trPr>
        <w:tc>
          <w:tcPr>
            <w:tcW w:w="3600" w:type="dxa"/>
          </w:tcPr>
          <w:p w14:paraId="1EF50426" w14:textId="77777777" w:rsidR="007D03FA" w:rsidRPr="00166622" w:rsidRDefault="007D03FA" w:rsidP="007D03FA">
            <w:pPr>
              <w:pStyle w:val="Table-Head-Left"/>
              <w:spacing w:before="120" w:after="120"/>
              <w:rPr>
                <w:rFonts w:ascii="Arial" w:hAnsi="Arial" w:cs="Arial"/>
              </w:rPr>
            </w:pPr>
            <w:r w:rsidRPr="00166622">
              <w:rPr>
                <w:rFonts w:ascii="Arial" w:hAnsi="Arial" w:cs="Arial"/>
              </w:rPr>
              <w:t>Recorded amount</w:t>
            </w:r>
          </w:p>
        </w:tc>
        <w:tc>
          <w:tcPr>
            <w:tcW w:w="5760" w:type="dxa"/>
          </w:tcPr>
          <w:p w14:paraId="38ACE2F2" w14:textId="77777777" w:rsidR="007D03FA" w:rsidRPr="00166622" w:rsidRDefault="007D03FA" w:rsidP="007D03FA">
            <w:pPr>
              <w:pStyle w:val="Table-Cell-Left"/>
              <w:spacing w:before="120" w:after="120"/>
              <w:rPr>
                <w:rFonts w:ascii="Arial" w:hAnsi="Arial" w:cs="Arial"/>
              </w:rPr>
            </w:pPr>
            <w:r w:rsidRPr="00166622">
              <w:rPr>
                <w:rFonts w:ascii="Arial" w:hAnsi="Arial" w:cs="Arial"/>
              </w:rPr>
              <w:t>The financial statement amount being tested by the auditor in the specific ap</w:t>
            </w:r>
            <w:r>
              <w:rPr>
                <w:rFonts w:ascii="Arial" w:hAnsi="Arial" w:cs="Arial"/>
              </w:rPr>
              <w:t>plication of substantive tests.</w:t>
            </w:r>
          </w:p>
        </w:tc>
      </w:tr>
      <w:tr w:rsidR="007D03FA" w:rsidRPr="00166622" w14:paraId="54EA3114" w14:textId="77777777" w:rsidTr="00453A1F">
        <w:trPr>
          <w:trHeight w:val="288"/>
        </w:trPr>
        <w:tc>
          <w:tcPr>
            <w:tcW w:w="3600" w:type="dxa"/>
          </w:tcPr>
          <w:p w14:paraId="0828AA4E" w14:textId="77777777" w:rsidR="007D03FA" w:rsidRPr="00166622" w:rsidRDefault="007D03FA" w:rsidP="007D03FA">
            <w:pPr>
              <w:pStyle w:val="Table-Head-Left"/>
              <w:spacing w:before="120" w:after="120"/>
              <w:rPr>
                <w:rFonts w:ascii="Arial" w:hAnsi="Arial" w:cs="Arial"/>
              </w:rPr>
            </w:pPr>
            <w:r w:rsidRPr="00166622">
              <w:rPr>
                <w:rFonts w:ascii="Arial" w:hAnsi="Arial" w:cs="Arial"/>
              </w:rPr>
              <w:t>Regression estimate</w:t>
            </w:r>
          </w:p>
        </w:tc>
        <w:tc>
          <w:tcPr>
            <w:tcW w:w="5760" w:type="dxa"/>
          </w:tcPr>
          <w:p w14:paraId="1B1A242A" w14:textId="77777777" w:rsidR="007D03FA" w:rsidRPr="00166622" w:rsidRDefault="007D03FA" w:rsidP="007D03FA">
            <w:pPr>
              <w:pStyle w:val="Table-Cell-Left"/>
              <w:spacing w:before="120" w:after="120"/>
              <w:rPr>
                <w:rFonts w:ascii="Arial" w:hAnsi="Arial" w:cs="Arial"/>
              </w:rPr>
            </w:pPr>
            <w:r w:rsidRPr="00166622">
              <w:rPr>
                <w:rFonts w:ascii="Arial" w:hAnsi="Arial" w:cs="Arial"/>
              </w:rPr>
              <w:t xml:space="preserve">An estimate of a population parameter for one variable that is obtained by substituting the known total for another variable into a regression equation calculated on the basis of sample values of the two variables. Ratio estimates are special kinds of </w:t>
            </w:r>
            <w:r>
              <w:rPr>
                <w:rFonts w:ascii="Arial" w:hAnsi="Arial" w:cs="Arial"/>
              </w:rPr>
              <w:t xml:space="preserve">regression estimates. </w:t>
            </w:r>
          </w:p>
        </w:tc>
      </w:tr>
      <w:tr w:rsidR="007D03FA" w:rsidRPr="00166622" w14:paraId="56115B64" w14:textId="77777777" w:rsidTr="00453A1F">
        <w:trPr>
          <w:trHeight w:val="288"/>
        </w:trPr>
        <w:tc>
          <w:tcPr>
            <w:tcW w:w="3600" w:type="dxa"/>
            <w:shd w:val="clear" w:color="auto" w:fill="auto"/>
          </w:tcPr>
          <w:p w14:paraId="3769B398" w14:textId="77777777" w:rsidR="007D03FA" w:rsidRPr="00166622" w:rsidRDefault="007D03FA" w:rsidP="007D03FA">
            <w:pPr>
              <w:pStyle w:val="Table-Head-Left"/>
              <w:spacing w:before="120" w:after="120"/>
              <w:rPr>
                <w:rFonts w:ascii="Arial" w:hAnsi="Arial" w:cs="Arial"/>
              </w:rPr>
            </w:pPr>
            <w:r w:rsidRPr="00166622">
              <w:rPr>
                <w:rFonts w:ascii="Arial" w:hAnsi="Arial" w:cs="Arial"/>
              </w:rPr>
              <w:t>Reimbursable activity</w:t>
            </w:r>
          </w:p>
        </w:tc>
        <w:tc>
          <w:tcPr>
            <w:tcW w:w="5760" w:type="dxa"/>
            <w:shd w:val="clear" w:color="auto" w:fill="auto"/>
          </w:tcPr>
          <w:p w14:paraId="6D1B9433" w14:textId="77777777" w:rsidR="007D03FA" w:rsidRPr="00166622" w:rsidRDefault="007D03FA" w:rsidP="007D03FA">
            <w:pPr>
              <w:pStyle w:val="Table-Cell-Left"/>
              <w:spacing w:before="120" w:after="120"/>
              <w:rPr>
                <w:rFonts w:ascii="Arial" w:hAnsi="Arial" w:cs="Arial"/>
              </w:rPr>
            </w:pPr>
            <w:r w:rsidRPr="00166622">
              <w:rPr>
                <w:rFonts w:ascii="Arial" w:hAnsi="Arial" w:cs="Arial"/>
              </w:rPr>
              <w:t xml:space="preserve">In intragovernmental activity, similar to goods or services, except the amounts billed to the receiving entity by the providing entity are based on some agreed-upon price, which may or </w:t>
            </w:r>
            <w:r>
              <w:rPr>
                <w:rFonts w:ascii="Arial" w:hAnsi="Arial" w:cs="Arial"/>
              </w:rPr>
              <w:t>may not represent market value.</w:t>
            </w:r>
          </w:p>
        </w:tc>
      </w:tr>
      <w:tr w:rsidR="007D03FA" w:rsidRPr="00166622" w14:paraId="57AE050D" w14:textId="77777777" w:rsidTr="00453A1F">
        <w:trPr>
          <w:trHeight w:val="288"/>
        </w:trPr>
        <w:tc>
          <w:tcPr>
            <w:tcW w:w="3600" w:type="dxa"/>
          </w:tcPr>
          <w:p w14:paraId="72EBF6B3" w14:textId="77777777" w:rsidR="007D03FA" w:rsidRPr="00166622" w:rsidRDefault="007D03FA" w:rsidP="007D03FA">
            <w:pPr>
              <w:pStyle w:val="Table-Head-Left"/>
              <w:spacing w:before="120" w:after="120"/>
              <w:rPr>
                <w:rFonts w:ascii="Arial" w:hAnsi="Arial" w:cs="Arial"/>
              </w:rPr>
            </w:pPr>
            <w:r w:rsidRPr="00166622">
              <w:rPr>
                <w:rFonts w:ascii="Arial" w:hAnsi="Arial" w:cs="Arial"/>
              </w:rPr>
              <w:t>Related parties</w:t>
            </w:r>
          </w:p>
        </w:tc>
        <w:tc>
          <w:tcPr>
            <w:tcW w:w="5760" w:type="dxa"/>
          </w:tcPr>
          <w:p w14:paraId="61641607" w14:textId="3AC09868" w:rsidR="007D03FA" w:rsidRPr="00166622" w:rsidRDefault="007E374C" w:rsidP="007D03FA">
            <w:pPr>
              <w:autoSpaceDE w:val="0"/>
              <w:autoSpaceDN w:val="0"/>
              <w:adjustRightInd w:val="0"/>
              <w:rPr>
                <w:rFonts w:ascii="Arial" w:hAnsi="Arial" w:cs="Arial"/>
              </w:rPr>
            </w:pPr>
            <w:r>
              <w:rPr>
                <w:rFonts w:ascii="Arial" w:hAnsi="Arial" w:cs="Arial"/>
                <w:szCs w:val="18"/>
              </w:rPr>
              <w:t xml:space="preserve">Under </w:t>
            </w:r>
            <w:r w:rsidRPr="007E374C">
              <w:rPr>
                <w:rFonts w:ascii="Arial" w:hAnsi="Arial" w:cs="Arial"/>
              </w:rPr>
              <w:t>FASAB standards,</w:t>
            </w:r>
            <w:r w:rsidR="007D03FA" w:rsidRPr="007E374C">
              <w:rPr>
                <w:rFonts w:ascii="Arial" w:hAnsi="Arial" w:cs="Arial"/>
              </w:rPr>
              <w:t xml:space="preserve"> o</w:t>
            </w:r>
            <w:r w:rsidR="007D03FA" w:rsidRPr="007E374C">
              <w:rPr>
                <w:rFonts w:ascii="Arial" w:hAnsi="Arial" w:cs="Arial"/>
                <w:color w:val="auto"/>
              </w:rPr>
              <w:t xml:space="preserve">rganizations are considered to be related parties in the general </w:t>
            </w:r>
            <w:r w:rsidR="007D03FA" w:rsidRPr="007E374C">
              <w:rPr>
                <w:rFonts w:ascii="Arial" w:hAnsi="Arial" w:cs="Arial"/>
                <w:color w:val="auto"/>
              </w:rPr>
              <w:lastRenderedPageBreak/>
              <w:t>purpose federal financial report if the existing relationship or one party to the existing relationship has the ability to exercise significant influence over the other party’s policy decisions.</w:t>
            </w:r>
            <w:r w:rsidR="007D03FA" w:rsidRPr="007E374C">
              <w:rPr>
                <w:rFonts w:ascii="Arial" w:hAnsi="Arial" w:cs="Arial"/>
              </w:rPr>
              <w:t xml:space="preserve"> Relationships and transactions between the entity and other federal entities (intragovernmental) are not considered related party relationships and transactions.</w:t>
            </w:r>
            <w:r w:rsidRPr="007E374C">
              <w:rPr>
                <w:rFonts w:ascii="Arial" w:hAnsi="Arial" w:cs="Arial"/>
              </w:rPr>
              <w:t xml:space="preserve"> Given the similarity of risks, </w:t>
            </w:r>
            <w:r w:rsidRPr="000564EC">
              <w:rPr>
                <w:rFonts w:ascii="Arial" w:hAnsi="Arial" w:cs="Arial"/>
              </w:rPr>
              <w:t>related parties, as used in auditing standards, may also include disclosure</w:t>
            </w:r>
            <w:r w:rsidRPr="006F765A">
              <w:rPr>
                <w:rFonts w:ascii="Arial" w:hAnsi="Arial" w:cs="Arial"/>
                <w:szCs w:val="18"/>
              </w:rPr>
              <w:t xml:space="preserve"> entities, related parties, and public-private partnerships, as these terms are defined by FASAB.</w:t>
            </w:r>
          </w:p>
        </w:tc>
      </w:tr>
      <w:tr w:rsidR="007D03FA" w:rsidRPr="00166622" w14:paraId="59BDD9EB" w14:textId="77777777" w:rsidTr="00453A1F">
        <w:trPr>
          <w:trHeight w:val="288"/>
        </w:trPr>
        <w:tc>
          <w:tcPr>
            <w:tcW w:w="3600" w:type="dxa"/>
          </w:tcPr>
          <w:p w14:paraId="4A049CE3" w14:textId="77777777" w:rsidR="007D03FA" w:rsidRPr="008407C5" w:rsidRDefault="007D03FA" w:rsidP="007D03FA">
            <w:pPr>
              <w:pStyle w:val="Table-Head-Left"/>
              <w:spacing w:before="120" w:after="120"/>
              <w:rPr>
                <w:rFonts w:ascii="Arial" w:hAnsi="Arial" w:cs="Arial"/>
              </w:rPr>
            </w:pPr>
            <w:r w:rsidRPr="008407C5">
              <w:rPr>
                <w:rFonts w:ascii="Arial" w:hAnsi="Arial" w:cs="Arial"/>
              </w:rPr>
              <w:lastRenderedPageBreak/>
              <w:t>Remote</w:t>
            </w:r>
          </w:p>
        </w:tc>
        <w:tc>
          <w:tcPr>
            <w:tcW w:w="5760" w:type="dxa"/>
          </w:tcPr>
          <w:p w14:paraId="2E039026" w14:textId="77777777" w:rsidR="007D03FA" w:rsidRPr="008407C5" w:rsidRDefault="007D03FA" w:rsidP="007D03FA">
            <w:pPr>
              <w:pStyle w:val="Table-Cell-Left"/>
              <w:spacing w:before="120" w:after="120"/>
              <w:rPr>
                <w:rFonts w:ascii="Arial" w:hAnsi="Arial" w:cs="Arial"/>
              </w:rPr>
            </w:pPr>
            <w:r w:rsidRPr="008407C5">
              <w:rPr>
                <w:rFonts w:ascii="Arial" w:hAnsi="Arial" w:cs="Arial"/>
              </w:rPr>
              <w:t>The chance of potential lia</w:t>
            </w:r>
            <w:r>
              <w:rPr>
                <w:rFonts w:ascii="Arial" w:hAnsi="Arial" w:cs="Arial"/>
              </w:rPr>
              <w:t>bility to the entity is slight.</w:t>
            </w:r>
          </w:p>
        </w:tc>
      </w:tr>
      <w:tr w:rsidR="007D03FA" w:rsidRPr="00166622" w14:paraId="639F3928" w14:textId="77777777" w:rsidTr="00453A1F">
        <w:trPr>
          <w:trHeight w:val="288"/>
        </w:trPr>
        <w:tc>
          <w:tcPr>
            <w:tcW w:w="3600" w:type="dxa"/>
          </w:tcPr>
          <w:p w14:paraId="635DFD96" w14:textId="77777777" w:rsidR="007D03FA" w:rsidRPr="008407C5" w:rsidRDefault="007D03FA" w:rsidP="007D03FA">
            <w:pPr>
              <w:pStyle w:val="Table-Head-Left"/>
              <w:spacing w:before="120" w:after="120"/>
              <w:rPr>
                <w:rFonts w:ascii="Arial" w:hAnsi="Arial" w:cs="Arial"/>
              </w:rPr>
            </w:pPr>
            <w:r>
              <w:rPr>
                <w:rFonts w:ascii="Arial" w:hAnsi="Arial" w:cs="Arial"/>
              </w:rPr>
              <w:t>Reporting phase</w:t>
            </w:r>
          </w:p>
        </w:tc>
        <w:tc>
          <w:tcPr>
            <w:tcW w:w="5760" w:type="dxa"/>
          </w:tcPr>
          <w:p w14:paraId="27D64EF1" w14:textId="4DDC9B69" w:rsidR="007D03FA" w:rsidRPr="008407C5" w:rsidRDefault="007D03FA" w:rsidP="007D03FA">
            <w:pPr>
              <w:pStyle w:val="Table-Cell-Left"/>
              <w:spacing w:before="120" w:after="120"/>
              <w:rPr>
                <w:rFonts w:ascii="Arial" w:hAnsi="Arial" w:cs="Arial"/>
                <w:snapToGrid w:val="0"/>
              </w:rPr>
            </w:pPr>
            <w:r w:rsidRPr="009C76F5">
              <w:rPr>
                <w:rFonts w:ascii="Arial" w:hAnsi="Arial" w:cs="Arial"/>
                <w:snapToGrid w:val="0"/>
              </w:rPr>
              <w:t xml:space="preserve">This phase completes the audit based on the results of audit procedures performed in the preceding phases. This involves developing the auditor’s report on the entity’s (1) annual financial statements </w:t>
            </w:r>
            <w:r w:rsidR="00D72A1A">
              <w:rPr>
                <w:rFonts w:ascii="Arial" w:hAnsi="Arial" w:cs="Arial"/>
                <w:snapToGrid w:val="0"/>
              </w:rPr>
              <w:t xml:space="preserve">and supplementary information; </w:t>
            </w:r>
            <w:r w:rsidRPr="009C76F5">
              <w:rPr>
                <w:rFonts w:ascii="Arial" w:hAnsi="Arial" w:cs="Arial"/>
                <w:snapToGrid w:val="0"/>
              </w:rPr>
              <w:t>(2) internal control over financial reporting; (3) financial management systems’ substantial compliance with the three FFMIA requirements (for CFO Act agencies); and (4) compliance with significant provisions of applicable laws, regulations, contracts, and grant agreements.</w:t>
            </w:r>
          </w:p>
        </w:tc>
      </w:tr>
      <w:tr w:rsidR="007D03FA" w:rsidRPr="00166622" w14:paraId="3BAF47E2" w14:textId="77777777" w:rsidTr="00453A1F">
        <w:trPr>
          <w:trHeight w:val="288"/>
        </w:trPr>
        <w:tc>
          <w:tcPr>
            <w:tcW w:w="3600" w:type="dxa"/>
          </w:tcPr>
          <w:p w14:paraId="6E60A9EA" w14:textId="77777777" w:rsidR="007D03FA" w:rsidRPr="008407C5" w:rsidRDefault="007D03FA" w:rsidP="007D03FA">
            <w:pPr>
              <w:pStyle w:val="Table-Head-Left"/>
              <w:spacing w:before="120" w:after="120"/>
              <w:rPr>
                <w:rFonts w:ascii="Arial" w:hAnsi="Arial" w:cs="Arial"/>
              </w:rPr>
            </w:pPr>
            <w:r w:rsidRPr="008407C5">
              <w:rPr>
                <w:rFonts w:ascii="Arial" w:hAnsi="Arial" w:cs="Arial"/>
              </w:rPr>
              <w:t>Required Supplementary Information</w:t>
            </w:r>
          </w:p>
        </w:tc>
        <w:tc>
          <w:tcPr>
            <w:tcW w:w="5760" w:type="dxa"/>
          </w:tcPr>
          <w:p w14:paraId="0D6375EA" w14:textId="77777777" w:rsidR="007D03FA" w:rsidRPr="008407C5" w:rsidRDefault="007D03FA" w:rsidP="007D03FA">
            <w:pPr>
              <w:pStyle w:val="Table-Cell-Left"/>
              <w:spacing w:before="120" w:after="120"/>
              <w:rPr>
                <w:rFonts w:ascii="Arial" w:hAnsi="Arial" w:cs="Arial"/>
                <w:snapToGrid w:val="0"/>
              </w:rPr>
            </w:pPr>
            <w:r w:rsidRPr="008407C5">
              <w:rPr>
                <w:rFonts w:ascii="Arial" w:hAnsi="Arial" w:cs="Arial"/>
                <w:snapToGrid w:val="0"/>
              </w:rPr>
              <w:t>Information that a designated accounting standards setter requires to accompany an entity's basic financial statements. Required supplementary information is not part of the basic financial statements; however, a designated accounting standards setter considers the information to be an essential part of financial reporting for placing the basic financial statements in an appropriate operational, economic, or historical context. In addition, authoritative guidelines for the methods of measurement and presentation of the information have been established.</w:t>
            </w:r>
          </w:p>
        </w:tc>
      </w:tr>
      <w:tr w:rsidR="007D03FA" w:rsidRPr="00166622" w14:paraId="6DA07D82" w14:textId="77777777" w:rsidTr="00453A1F">
        <w:trPr>
          <w:trHeight w:val="288"/>
        </w:trPr>
        <w:tc>
          <w:tcPr>
            <w:tcW w:w="3600" w:type="dxa"/>
          </w:tcPr>
          <w:p w14:paraId="4E657394" w14:textId="77777777" w:rsidR="007D03FA" w:rsidRPr="008407C5" w:rsidRDefault="007D03FA" w:rsidP="007D03FA">
            <w:pPr>
              <w:pStyle w:val="Table-Head-Left"/>
              <w:spacing w:before="120" w:after="120"/>
              <w:rPr>
                <w:rFonts w:ascii="Arial" w:hAnsi="Arial" w:cs="Arial"/>
              </w:rPr>
            </w:pPr>
            <w:r w:rsidRPr="008407C5">
              <w:rPr>
                <w:rFonts w:ascii="Arial" w:hAnsi="Arial" w:cs="Arial"/>
              </w:rPr>
              <w:t>Responsibility segment</w:t>
            </w:r>
          </w:p>
        </w:tc>
        <w:tc>
          <w:tcPr>
            <w:tcW w:w="5760" w:type="dxa"/>
          </w:tcPr>
          <w:p w14:paraId="250FE3BD" w14:textId="77777777" w:rsidR="007D03FA" w:rsidRPr="008407C5" w:rsidRDefault="007D03FA" w:rsidP="007D03FA">
            <w:pPr>
              <w:pStyle w:val="Table-Cell-Left"/>
              <w:spacing w:before="120" w:after="120"/>
              <w:rPr>
                <w:rFonts w:ascii="Arial" w:hAnsi="Arial" w:cs="Arial"/>
                <w:snapToGrid w:val="0"/>
              </w:rPr>
            </w:pPr>
            <w:r w:rsidRPr="008407C5">
              <w:rPr>
                <w:rFonts w:ascii="Arial" w:hAnsi="Arial" w:cs="Arial"/>
                <w:snapToGrid w:val="0"/>
              </w:rPr>
              <w:t xml:space="preserve">A significant organizational, operational, functional, or process component that has the following characteristics: (a) its manager reports to the entity’s top management, (b) it is responsible for carrying out a mission, performing a line of activities or services, or producing one or a group of products, and (c) for financial reporting and cost management purposes, its resources and results of </w:t>
            </w:r>
            <w:r w:rsidRPr="008407C5">
              <w:rPr>
                <w:rFonts w:ascii="Arial" w:hAnsi="Arial" w:cs="Arial"/>
                <w:snapToGrid w:val="0"/>
              </w:rPr>
              <w:lastRenderedPageBreak/>
              <w:t>operations can be clearly distinguished, physically and operationally, from those of other segments of the entity.</w:t>
            </w:r>
          </w:p>
        </w:tc>
      </w:tr>
      <w:tr w:rsidR="007D03FA" w:rsidRPr="00166622" w14:paraId="346C762B" w14:textId="77777777" w:rsidTr="00453A1F">
        <w:trPr>
          <w:trHeight w:val="288"/>
        </w:trPr>
        <w:tc>
          <w:tcPr>
            <w:tcW w:w="3600" w:type="dxa"/>
          </w:tcPr>
          <w:p w14:paraId="40FBD8BE" w14:textId="77777777" w:rsidR="007D03FA" w:rsidRPr="008407C5" w:rsidRDefault="007D03FA" w:rsidP="007D03FA">
            <w:pPr>
              <w:pStyle w:val="Table-Head-Left"/>
              <w:spacing w:before="120" w:after="120"/>
              <w:rPr>
                <w:rFonts w:ascii="Arial" w:hAnsi="Arial" w:cs="Arial"/>
              </w:rPr>
            </w:pPr>
            <w:r>
              <w:rPr>
                <w:rFonts w:ascii="Arial" w:hAnsi="Arial" w:cs="Arial"/>
              </w:rPr>
              <w:lastRenderedPageBreak/>
              <w:t xml:space="preserve">Reviewer </w:t>
            </w:r>
            <w:r w:rsidRPr="009E6171">
              <w:rPr>
                <w:rFonts w:ascii="Arial" w:hAnsi="Arial" w:cs="Arial"/>
              </w:rPr>
              <w:t>(engagement quality control reviewer or second partner)</w:t>
            </w:r>
          </w:p>
        </w:tc>
        <w:tc>
          <w:tcPr>
            <w:tcW w:w="5760" w:type="dxa"/>
          </w:tcPr>
          <w:p w14:paraId="18B6B5E3" w14:textId="77777777" w:rsidR="007D03FA" w:rsidRPr="008407C5" w:rsidRDefault="007D03FA" w:rsidP="007D03FA">
            <w:pPr>
              <w:pStyle w:val="Table-Cell-Left"/>
              <w:spacing w:before="120" w:after="120"/>
              <w:rPr>
                <w:rFonts w:ascii="Arial" w:hAnsi="Arial" w:cs="Arial"/>
                <w:snapToGrid w:val="0"/>
              </w:rPr>
            </w:pPr>
            <w:r>
              <w:rPr>
                <w:rFonts w:ascii="Arial" w:hAnsi="Arial" w:cs="Arial"/>
                <w:snapToGrid w:val="0"/>
              </w:rPr>
              <w:t xml:space="preserve">The person </w:t>
            </w:r>
            <w:r w:rsidRPr="009E6171">
              <w:rPr>
                <w:rFonts w:ascii="Arial" w:hAnsi="Arial" w:cs="Arial"/>
                <w:snapToGrid w:val="0"/>
              </w:rPr>
              <w:t>responsible for providing negative assurance about the quality of the audit and reports to the assistant IG for audit (or higher position) or, at GAO, is the chief accountant or designee. The reviewer may consult with other personnel as needed.</w:t>
            </w:r>
          </w:p>
        </w:tc>
      </w:tr>
      <w:tr w:rsidR="007D03FA" w:rsidRPr="00166622" w14:paraId="1B6348CF" w14:textId="77777777" w:rsidTr="00453A1F">
        <w:trPr>
          <w:trHeight w:val="288"/>
        </w:trPr>
        <w:tc>
          <w:tcPr>
            <w:tcW w:w="3600" w:type="dxa"/>
          </w:tcPr>
          <w:p w14:paraId="3FFE2C02" w14:textId="77777777" w:rsidR="007D03FA" w:rsidRPr="008407C5" w:rsidRDefault="007D03FA" w:rsidP="007D03FA">
            <w:pPr>
              <w:pStyle w:val="Table-Head-Left"/>
              <w:spacing w:before="120" w:after="120"/>
              <w:rPr>
                <w:rFonts w:ascii="Arial" w:hAnsi="Arial" w:cs="Arial"/>
              </w:rPr>
            </w:pPr>
            <w:r>
              <w:rPr>
                <w:rFonts w:ascii="Arial" w:hAnsi="Arial" w:cs="Arial"/>
              </w:rPr>
              <w:t>Rights and obligations</w:t>
            </w:r>
          </w:p>
        </w:tc>
        <w:tc>
          <w:tcPr>
            <w:tcW w:w="5760" w:type="dxa"/>
          </w:tcPr>
          <w:p w14:paraId="14EB2125" w14:textId="77777777" w:rsidR="007D03FA" w:rsidRPr="008407C5" w:rsidRDefault="007D03FA" w:rsidP="007D03FA">
            <w:pPr>
              <w:pStyle w:val="Table-Cell-Left"/>
              <w:spacing w:before="120" w:after="120"/>
              <w:rPr>
                <w:rFonts w:ascii="Arial" w:hAnsi="Arial" w:cs="Arial"/>
              </w:rPr>
            </w:pPr>
            <w:r w:rsidRPr="00D845AA">
              <w:rPr>
                <w:rFonts w:ascii="Arial" w:hAnsi="Arial" w:cs="Arial"/>
              </w:rPr>
              <w:t>The entity holds or controls the rights to assets, and liabilities are the obligations of the entity at a given date.</w:t>
            </w:r>
          </w:p>
        </w:tc>
      </w:tr>
      <w:tr w:rsidR="007D03FA" w:rsidRPr="00166622" w14:paraId="03E3E212" w14:textId="77777777" w:rsidTr="00453A1F">
        <w:trPr>
          <w:trHeight w:val="288"/>
        </w:trPr>
        <w:tc>
          <w:tcPr>
            <w:tcW w:w="3600" w:type="dxa"/>
          </w:tcPr>
          <w:p w14:paraId="4AECE1CC" w14:textId="77777777" w:rsidR="007D03FA" w:rsidRPr="008407C5" w:rsidRDefault="007D03FA" w:rsidP="007D03FA">
            <w:pPr>
              <w:pStyle w:val="Table-Head-Left"/>
              <w:spacing w:before="120" w:after="120"/>
              <w:rPr>
                <w:rFonts w:ascii="Arial" w:hAnsi="Arial" w:cs="Arial"/>
              </w:rPr>
            </w:pPr>
            <w:r w:rsidRPr="008407C5">
              <w:rPr>
                <w:rFonts w:ascii="Arial" w:hAnsi="Arial" w:cs="Arial"/>
              </w:rPr>
              <w:t>Risk</w:t>
            </w:r>
          </w:p>
        </w:tc>
        <w:tc>
          <w:tcPr>
            <w:tcW w:w="5760" w:type="dxa"/>
          </w:tcPr>
          <w:p w14:paraId="7C9F3C94" w14:textId="77777777" w:rsidR="007D03FA" w:rsidRPr="008407C5" w:rsidRDefault="007D03FA" w:rsidP="007D03FA">
            <w:pPr>
              <w:pStyle w:val="Table-Cell-Left"/>
              <w:spacing w:before="120" w:after="120"/>
              <w:rPr>
                <w:rFonts w:ascii="Arial" w:hAnsi="Arial" w:cs="Arial"/>
              </w:rPr>
            </w:pPr>
            <w:r w:rsidRPr="008407C5">
              <w:rPr>
                <w:rFonts w:ascii="Arial" w:hAnsi="Arial" w:cs="Arial"/>
              </w:rPr>
              <w:t>See audit risk, inherent risk, control risk, risk of material misstatement, and detection risk.</w:t>
            </w:r>
          </w:p>
        </w:tc>
      </w:tr>
      <w:tr w:rsidR="007D03FA" w:rsidRPr="00166622" w14:paraId="3F99CB75" w14:textId="77777777" w:rsidTr="00453A1F">
        <w:trPr>
          <w:trHeight w:val="288"/>
        </w:trPr>
        <w:tc>
          <w:tcPr>
            <w:tcW w:w="3600" w:type="dxa"/>
            <w:shd w:val="clear" w:color="auto" w:fill="auto"/>
          </w:tcPr>
          <w:p w14:paraId="58647A05" w14:textId="77777777" w:rsidR="007D03FA" w:rsidRPr="00A86F20" w:rsidRDefault="007D03FA" w:rsidP="007D03FA">
            <w:pPr>
              <w:pStyle w:val="Table-Head-Left"/>
              <w:spacing w:before="120" w:after="120"/>
              <w:rPr>
                <w:rFonts w:ascii="Arial" w:hAnsi="Arial" w:cs="Arial"/>
              </w:rPr>
            </w:pPr>
            <w:r w:rsidRPr="00A86F20">
              <w:rPr>
                <w:rFonts w:ascii="Arial" w:hAnsi="Arial" w:cs="Arial"/>
              </w:rPr>
              <w:t>Risk assessment</w:t>
            </w:r>
          </w:p>
        </w:tc>
        <w:tc>
          <w:tcPr>
            <w:tcW w:w="5760" w:type="dxa"/>
            <w:shd w:val="clear" w:color="auto" w:fill="auto"/>
          </w:tcPr>
          <w:p w14:paraId="21A9F579" w14:textId="77777777" w:rsidR="007D03FA" w:rsidRPr="00A86F20" w:rsidRDefault="007D03FA" w:rsidP="007D03FA">
            <w:pPr>
              <w:pStyle w:val="Table-Cell-Left"/>
              <w:spacing w:before="120" w:after="120"/>
              <w:rPr>
                <w:rFonts w:ascii="Arial" w:hAnsi="Arial" w:cs="Arial"/>
              </w:rPr>
            </w:pPr>
            <w:r w:rsidRPr="00A86F20">
              <w:rPr>
                <w:rFonts w:ascii="Arial" w:hAnsi="Arial" w:cs="Arial"/>
              </w:rPr>
              <w:t>One of the five components of internal control, in addition to control environment, control activities, information and communications, and monitoring.</w:t>
            </w:r>
          </w:p>
          <w:p w14:paraId="103AECC4" w14:textId="77777777" w:rsidR="007D03FA" w:rsidRPr="00A86F20" w:rsidRDefault="007D03FA" w:rsidP="007D03FA">
            <w:pPr>
              <w:pStyle w:val="FAM-Bullet-1"/>
              <w:numPr>
                <w:ilvl w:val="0"/>
                <w:numId w:val="0"/>
              </w:numPr>
              <w:spacing w:before="120"/>
              <w:rPr>
                <w:rFonts w:ascii="Arial" w:hAnsi="Arial" w:cs="Arial"/>
              </w:rPr>
            </w:pPr>
            <w:r w:rsidRPr="00A86F20">
              <w:rPr>
                <w:rFonts w:ascii="Arial" w:hAnsi="Arial" w:cs="Arial"/>
                <w:bCs/>
              </w:rPr>
              <w:t>Risk assessment</w:t>
            </w:r>
            <w:r w:rsidRPr="00A86F20">
              <w:rPr>
                <w:rFonts w:ascii="Arial" w:hAnsi="Arial" w:cs="Arial"/>
              </w:rPr>
              <w:t xml:space="preserve"> is the entity’s identification, analysis, and management of risks relevant to achievement of its objectives. This assessment provides the basis for developing appropriate responses to risk. </w:t>
            </w:r>
          </w:p>
        </w:tc>
      </w:tr>
      <w:tr w:rsidR="007D03FA" w:rsidRPr="00166622" w14:paraId="313EBC48" w14:textId="77777777" w:rsidTr="00453A1F">
        <w:trPr>
          <w:trHeight w:val="288"/>
        </w:trPr>
        <w:tc>
          <w:tcPr>
            <w:tcW w:w="3600" w:type="dxa"/>
          </w:tcPr>
          <w:p w14:paraId="0A1F2073" w14:textId="77777777" w:rsidR="007D03FA" w:rsidRPr="001A44B5" w:rsidRDefault="007D03FA" w:rsidP="007D03FA">
            <w:pPr>
              <w:pStyle w:val="Table-Head-Left"/>
              <w:spacing w:before="120" w:after="120"/>
              <w:rPr>
                <w:rFonts w:ascii="Arial" w:hAnsi="Arial" w:cs="Arial"/>
              </w:rPr>
            </w:pPr>
            <w:r w:rsidRPr="001A44B5">
              <w:rPr>
                <w:rFonts w:ascii="Arial" w:hAnsi="Arial" w:cs="Arial"/>
              </w:rPr>
              <w:t>Risk of material misstatement</w:t>
            </w:r>
          </w:p>
        </w:tc>
        <w:tc>
          <w:tcPr>
            <w:tcW w:w="5760" w:type="dxa"/>
          </w:tcPr>
          <w:p w14:paraId="672C8031" w14:textId="77777777" w:rsidR="007D03FA" w:rsidRPr="001A44B5" w:rsidRDefault="007D03FA" w:rsidP="007D03FA">
            <w:pPr>
              <w:pStyle w:val="Table-Cell-Left"/>
              <w:spacing w:before="120" w:after="120"/>
              <w:rPr>
                <w:rFonts w:ascii="Arial" w:hAnsi="Arial" w:cs="Arial"/>
              </w:rPr>
            </w:pPr>
            <w:r w:rsidRPr="001A44B5">
              <w:rPr>
                <w:rFonts w:ascii="Arial" w:hAnsi="Arial" w:cs="Arial"/>
              </w:rPr>
              <w:t>The risk that the financial statements are materially misstated prior to the audit. It is the auditor’s combined assessment of inherent risk and control risk.</w:t>
            </w:r>
          </w:p>
        </w:tc>
      </w:tr>
      <w:tr w:rsidR="007D03FA" w:rsidRPr="00166622" w14:paraId="35AF5099" w14:textId="77777777" w:rsidTr="00453A1F">
        <w:trPr>
          <w:trHeight w:val="288"/>
        </w:trPr>
        <w:tc>
          <w:tcPr>
            <w:tcW w:w="3600" w:type="dxa"/>
          </w:tcPr>
          <w:p w14:paraId="4EC9DFE3" w14:textId="77777777" w:rsidR="007D03FA" w:rsidRPr="001A44B5" w:rsidRDefault="007D03FA" w:rsidP="007D03FA">
            <w:pPr>
              <w:pStyle w:val="Table-Head-Left"/>
              <w:spacing w:before="120" w:after="120"/>
              <w:rPr>
                <w:rFonts w:ascii="Arial" w:hAnsi="Arial" w:cs="Arial"/>
              </w:rPr>
            </w:pPr>
            <w:r>
              <w:rPr>
                <w:rFonts w:ascii="Arial" w:hAnsi="Arial" w:cs="Arial"/>
              </w:rPr>
              <w:t>Rollover approach</w:t>
            </w:r>
          </w:p>
        </w:tc>
        <w:tc>
          <w:tcPr>
            <w:tcW w:w="5760" w:type="dxa"/>
          </w:tcPr>
          <w:p w14:paraId="319ED71D" w14:textId="537E62DD" w:rsidR="007D03FA" w:rsidRPr="001A44B5" w:rsidRDefault="007D03FA" w:rsidP="000564EC">
            <w:pPr>
              <w:pStyle w:val="Table-Cell-Left"/>
              <w:spacing w:before="120" w:after="120"/>
              <w:rPr>
                <w:rFonts w:ascii="Arial" w:hAnsi="Arial" w:cs="Arial"/>
              </w:rPr>
            </w:pPr>
            <w:r>
              <w:rPr>
                <w:rFonts w:ascii="Arial" w:hAnsi="Arial" w:cs="Arial"/>
              </w:rPr>
              <w:t>An approach used to evaluate misstatements. This approach q</w:t>
            </w:r>
            <w:r w:rsidRPr="008C18EA">
              <w:rPr>
                <w:rFonts w:ascii="Arial" w:hAnsi="Arial" w:cs="Arial"/>
              </w:rPr>
              <w:t>uantifies a misstatement based on the amount of the misstatement originating in the current year Statement of Net Cost</w:t>
            </w:r>
            <w:r>
              <w:rPr>
                <w:rFonts w:ascii="Arial" w:hAnsi="Arial" w:cs="Arial"/>
              </w:rPr>
              <w:t>.</w:t>
            </w:r>
          </w:p>
        </w:tc>
      </w:tr>
      <w:tr w:rsidR="007D03FA" w:rsidRPr="00166622" w14:paraId="2AFE3732" w14:textId="77777777" w:rsidTr="00453A1F">
        <w:trPr>
          <w:trHeight w:val="288"/>
        </w:trPr>
        <w:tc>
          <w:tcPr>
            <w:tcW w:w="3600" w:type="dxa"/>
          </w:tcPr>
          <w:p w14:paraId="21B3C7FD" w14:textId="77777777" w:rsidR="007D03FA" w:rsidRPr="00CC0034" w:rsidRDefault="007D03FA" w:rsidP="007D03FA">
            <w:pPr>
              <w:pStyle w:val="Table-Head-Left"/>
              <w:spacing w:before="120" w:after="120"/>
              <w:rPr>
                <w:rFonts w:ascii="Arial" w:hAnsi="Arial" w:cs="Arial"/>
              </w:rPr>
            </w:pPr>
            <w:r w:rsidRPr="00CC0034">
              <w:rPr>
                <w:rFonts w:ascii="Arial" w:hAnsi="Arial" w:cs="Arial"/>
              </w:rPr>
              <w:t>Safeguarding controls</w:t>
            </w:r>
          </w:p>
        </w:tc>
        <w:tc>
          <w:tcPr>
            <w:tcW w:w="5760" w:type="dxa"/>
          </w:tcPr>
          <w:p w14:paraId="090BF68D" w14:textId="77777777" w:rsidR="007D03FA" w:rsidRPr="00CC0034" w:rsidRDefault="007D03FA" w:rsidP="007D03FA">
            <w:pPr>
              <w:pStyle w:val="Table-Cell-Left"/>
              <w:spacing w:before="120" w:after="120"/>
              <w:rPr>
                <w:rFonts w:ascii="Arial" w:hAnsi="Arial" w:cs="Arial"/>
              </w:rPr>
            </w:pPr>
            <w:r w:rsidRPr="00CC0034">
              <w:rPr>
                <w:rFonts w:ascii="Arial" w:hAnsi="Arial" w:cs="Arial"/>
              </w:rPr>
              <w:t>Internal controls to protect assets from loss from unauthorized acquisition, use, or disposition of entity assets that could have a material effect on the financial statements.</w:t>
            </w:r>
          </w:p>
        </w:tc>
      </w:tr>
      <w:tr w:rsidR="007D03FA" w:rsidRPr="00166622" w14:paraId="382BDD57" w14:textId="77777777" w:rsidTr="00453A1F">
        <w:trPr>
          <w:trHeight w:val="288"/>
        </w:trPr>
        <w:tc>
          <w:tcPr>
            <w:tcW w:w="3600" w:type="dxa"/>
          </w:tcPr>
          <w:p w14:paraId="759846F0" w14:textId="77777777" w:rsidR="007D03FA" w:rsidRPr="00CC0034" w:rsidRDefault="007D03FA" w:rsidP="007D03FA">
            <w:pPr>
              <w:pStyle w:val="Table-Head-Left"/>
              <w:spacing w:before="120" w:after="120"/>
              <w:rPr>
                <w:rFonts w:ascii="Arial" w:hAnsi="Arial" w:cs="Arial"/>
              </w:rPr>
            </w:pPr>
            <w:r w:rsidRPr="00CC0034">
              <w:rPr>
                <w:rFonts w:ascii="Arial" w:hAnsi="Arial" w:cs="Arial"/>
              </w:rPr>
              <w:t>Sample</w:t>
            </w:r>
          </w:p>
        </w:tc>
        <w:tc>
          <w:tcPr>
            <w:tcW w:w="5760" w:type="dxa"/>
          </w:tcPr>
          <w:p w14:paraId="6DE653DB" w14:textId="7DD3D63C" w:rsidR="007D03FA" w:rsidRPr="00CC0034" w:rsidRDefault="007D03FA" w:rsidP="007D03FA">
            <w:pPr>
              <w:pStyle w:val="Table-Cell-Left"/>
              <w:spacing w:before="120" w:after="120"/>
              <w:rPr>
                <w:rFonts w:ascii="Arial" w:hAnsi="Arial" w:cs="Arial"/>
              </w:rPr>
            </w:pPr>
            <w:r w:rsidRPr="00CC0034">
              <w:rPr>
                <w:rFonts w:ascii="Arial" w:hAnsi="Arial" w:cs="Arial"/>
              </w:rPr>
              <w:t>Items selected from a population to reach a conclusion ab</w:t>
            </w:r>
            <w:r w:rsidR="00D72A1A">
              <w:rPr>
                <w:rFonts w:ascii="Arial" w:hAnsi="Arial" w:cs="Arial"/>
              </w:rPr>
              <w:t xml:space="preserve">out the population as a whole. </w:t>
            </w:r>
            <w:r w:rsidRPr="00CC0034">
              <w:rPr>
                <w:rFonts w:ascii="Arial" w:hAnsi="Arial" w:cs="Arial"/>
              </w:rPr>
              <w:t>(Compare wit</w:t>
            </w:r>
            <w:r>
              <w:rPr>
                <w:rFonts w:ascii="Arial" w:hAnsi="Arial" w:cs="Arial"/>
              </w:rPr>
              <w:t>h nonrepresentative selection.)</w:t>
            </w:r>
          </w:p>
        </w:tc>
      </w:tr>
      <w:tr w:rsidR="007D03FA" w:rsidRPr="00166622" w14:paraId="2D462F17" w14:textId="77777777" w:rsidTr="00453A1F">
        <w:trPr>
          <w:trHeight w:val="288"/>
        </w:trPr>
        <w:tc>
          <w:tcPr>
            <w:tcW w:w="3600" w:type="dxa"/>
          </w:tcPr>
          <w:p w14:paraId="05D711EC" w14:textId="77777777" w:rsidR="007D03FA" w:rsidRPr="00CC0034" w:rsidRDefault="007D03FA" w:rsidP="007D03FA">
            <w:pPr>
              <w:pStyle w:val="Table-Head-Left"/>
              <w:spacing w:before="120" w:after="120"/>
              <w:rPr>
                <w:rFonts w:ascii="Arial" w:hAnsi="Arial" w:cs="Arial"/>
              </w:rPr>
            </w:pPr>
            <w:r w:rsidRPr="00CC0034">
              <w:rPr>
                <w:rFonts w:ascii="Arial" w:hAnsi="Arial" w:cs="Arial"/>
              </w:rPr>
              <w:t>Sampling</w:t>
            </w:r>
          </w:p>
        </w:tc>
        <w:tc>
          <w:tcPr>
            <w:tcW w:w="5760" w:type="dxa"/>
          </w:tcPr>
          <w:p w14:paraId="26D750DE" w14:textId="77777777" w:rsidR="007D03FA" w:rsidRPr="00CC0034" w:rsidRDefault="007D03FA" w:rsidP="007D03FA">
            <w:pPr>
              <w:pStyle w:val="Table-Cell-Left"/>
              <w:spacing w:before="120" w:after="120"/>
              <w:rPr>
                <w:rFonts w:ascii="Arial" w:hAnsi="Arial" w:cs="Arial"/>
              </w:rPr>
            </w:pPr>
            <w:r w:rsidRPr="00CC0034">
              <w:rPr>
                <w:rFonts w:ascii="Arial" w:hAnsi="Arial" w:cs="Arial"/>
              </w:rPr>
              <w:t xml:space="preserve">The selection and evaluation of less than 100 percent of the population of audit relevance such </w:t>
            </w:r>
            <w:r w:rsidRPr="00CC0034">
              <w:rPr>
                <w:rFonts w:ascii="Arial" w:hAnsi="Arial" w:cs="Arial"/>
              </w:rPr>
              <w:lastRenderedPageBreak/>
              <w:t>that the auditor expects the items selected (the sample) to be representative of the population and, thus, likely to provide a reasonable basis for conclusions about the population. In this context, representative means that evaluation of the sample will result in conclusions that, subject to the limitations of sampling risk, are similar to those that would be drawn if the same procedures were applied to the entire population.</w:t>
            </w:r>
          </w:p>
        </w:tc>
      </w:tr>
      <w:tr w:rsidR="007D03FA" w:rsidRPr="00166622" w14:paraId="54474DBD" w14:textId="77777777" w:rsidTr="00453A1F">
        <w:trPr>
          <w:trHeight w:val="288"/>
        </w:trPr>
        <w:tc>
          <w:tcPr>
            <w:tcW w:w="3600" w:type="dxa"/>
          </w:tcPr>
          <w:p w14:paraId="7889420B" w14:textId="77777777" w:rsidR="007D03FA" w:rsidRPr="00166622" w:rsidRDefault="007D03FA" w:rsidP="007D03FA">
            <w:pPr>
              <w:pStyle w:val="Table-Head-Left"/>
              <w:spacing w:before="120" w:after="120"/>
              <w:rPr>
                <w:rFonts w:ascii="Arial" w:hAnsi="Arial" w:cs="Arial"/>
              </w:rPr>
            </w:pPr>
            <w:r w:rsidRPr="00166622">
              <w:rPr>
                <w:rFonts w:ascii="Arial" w:hAnsi="Arial" w:cs="Arial"/>
              </w:rPr>
              <w:lastRenderedPageBreak/>
              <w:t>Sampling interval</w:t>
            </w:r>
          </w:p>
        </w:tc>
        <w:tc>
          <w:tcPr>
            <w:tcW w:w="5760" w:type="dxa"/>
          </w:tcPr>
          <w:p w14:paraId="44B7A525" w14:textId="11D892E3" w:rsidR="007D03FA" w:rsidRPr="00166622" w:rsidRDefault="007D03FA" w:rsidP="007D03FA">
            <w:pPr>
              <w:pStyle w:val="Table-Cell-Left"/>
              <w:spacing w:before="120" w:after="120"/>
              <w:rPr>
                <w:rFonts w:ascii="Arial" w:hAnsi="Arial" w:cs="Arial"/>
              </w:rPr>
            </w:pPr>
            <w:r w:rsidRPr="00166622">
              <w:rPr>
                <w:rFonts w:ascii="Arial" w:hAnsi="Arial" w:cs="Arial"/>
              </w:rPr>
              <w:t>An amount between two consecutive sample</w:t>
            </w:r>
            <w:r w:rsidR="00D72A1A">
              <w:rPr>
                <w:rFonts w:ascii="Arial" w:hAnsi="Arial" w:cs="Arial"/>
              </w:rPr>
              <w:t xml:space="preserve"> items in a systematic sample. </w:t>
            </w:r>
            <w:r w:rsidRPr="00166622">
              <w:rPr>
                <w:rFonts w:ascii="Arial" w:hAnsi="Arial" w:cs="Arial"/>
              </w:rPr>
              <w:t xml:space="preserve">The sampling interval is determined by dividing the number of items in the population by the desired number of selections. When used in the context of a systematic sample used to select items for monetary-unit sampling (MUS), it is the tolerable misstatement divided </w:t>
            </w:r>
            <w:r>
              <w:rPr>
                <w:rFonts w:ascii="Arial" w:hAnsi="Arial" w:cs="Arial"/>
              </w:rPr>
              <w:t>by the statistical risk factor.</w:t>
            </w:r>
          </w:p>
        </w:tc>
      </w:tr>
      <w:tr w:rsidR="007D03FA" w:rsidRPr="00166622" w14:paraId="3C5673E4" w14:textId="77777777" w:rsidTr="00453A1F">
        <w:trPr>
          <w:trHeight w:val="288"/>
        </w:trPr>
        <w:tc>
          <w:tcPr>
            <w:tcW w:w="3600" w:type="dxa"/>
          </w:tcPr>
          <w:p w14:paraId="4E7E2892" w14:textId="77777777" w:rsidR="007D03FA" w:rsidRPr="00CC0034" w:rsidRDefault="007D03FA" w:rsidP="007D03FA">
            <w:pPr>
              <w:pStyle w:val="Table-Head-Left"/>
              <w:spacing w:before="120" w:after="120"/>
              <w:rPr>
                <w:rFonts w:ascii="Arial" w:hAnsi="Arial" w:cs="Arial"/>
              </w:rPr>
            </w:pPr>
            <w:r w:rsidRPr="00CC0034">
              <w:rPr>
                <w:rFonts w:ascii="Arial" w:hAnsi="Arial" w:cs="Arial"/>
              </w:rPr>
              <w:t>Sampling risk</w:t>
            </w:r>
          </w:p>
        </w:tc>
        <w:tc>
          <w:tcPr>
            <w:tcW w:w="5760" w:type="dxa"/>
          </w:tcPr>
          <w:p w14:paraId="58E74BDE" w14:textId="77777777" w:rsidR="007D03FA" w:rsidRPr="00CC0034" w:rsidRDefault="007D03FA" w:rsidP="007D03FA">
            <w:pPr>
              <w:pStyle w:val="Table-Cell-Left"/>
              <w:spacing w:before="120" w:after="120"/>
              <w:rPr>
                <w:rFonts w:ascii="Arial" w:hAnsi="Arial" w:cs="Arial"/>
              </w:rPr>
            </w:pPr>
            <w:r w:rsidRPr="00CC0034">
              <w:rPr>
                <w:rFonts w:ascii="Arial" w:hAnsi="Arial" w:cs="Arial"/>
              </w:rPr>
              <w:t>The risk that the auditor’s conclusion based on a sample may be different from the conclusion if the entire population were subjected to the same audit procedure. For tests of controls, sampling risk is the risk of assessing control risk either too low or too high. For substantive testing, sampling risk is the risk of incorrect acceptance or the risk of incorrect rejection.</w:t>
            </w:r>
          </w:p>
        </w:tc>
      </w:tr>
      <w:tr w:rsidR="007D03FA" w:rsidRPr="00166622" w14:paraId="410F63AB" w14:textId="77777777" w:rsidTr="00453A1F">
        <w:trPr>
          <w:trHeight w:val="288"/>
        </w:trPr>
        <w:tc>
          <w:tcPr>
            <w:tcW w:w="3600" w:type="dxa"/>
          </w:tcPr>
          <w:p w14:paraId="5BA8CF6A" w14:textId="77777777" w:rsidR="007D03FA" w:rsidRPr="00CC0034" w:rsidRDefault="007D03FA" w:rsidP="007D03FA">
            <w:pPr>
              <w:pStyle w:val="Table-Head-Left"/>
              <w:spacing w:before="120" w:after="120"/>
              <w:rPr>
                <w:rFonts w:ascii="Arial" w:hAnsi="Arial" w:cs="Arial"/>
              </w:rPr>
            </w:pPr>
            <w:r w:rsidRPr="00CC0034">
              <w:rPr>
                <w:rFonts w:ascii="Arial" w:hAnsi="Arial" w:cs="Arial"/>
              </w:rPr>
              <w:t>Sampling unit</w:t>
            </w:r>
          </w:p>
        </w:tc>
        <w:tc>
          <w:tcPr>
            <w:tcW w:w="5760" w:type="dxa"/>
          </w:tcPr>
          <w:p w14:paraId="7629EA53" w14:textId="77777777" w:rsidR="007D03FA" w:rsidRPr="00CC0034" w:rsidRDefault="007D03FA" w:rsidP="007D03FA">
            <w:pPr>
              <w:pStyle w:val="Table-Cell-Left"/>
              <w:spacing w:before="120" w:after="120"/>
              <w:rPr>
                <w:rFonts w:ascii="Arial" w:hAnsi="Arial" w:cs="Arial"/>
              </w:rPr>
            </w:pPr>
            <w:r w:rsidRPr="00CC0034">
              <w:rPr>
                <w:rFonts w:ascii="Arial" w:hAnsi="Arial" w:cs="Arial"/>
              </w:rPr>
              <w:t xml:space="preserve">Any of the individual elements, as defined by the auditor, </w:t>
            </w:r>
            <w:r>
              <w:rPr>
                <w:rFonts w:ascii="Arial" w:hAnsi="Arial" w:cs="Arial"/>
              </w:rPr>
              <w:t>that constitute the population.</w:t>
            </w:r>
          </w:p>
        </w:tc>
      </w:tr>
      <w:tr w:rsidR="007D03FA" w:rsidRPr="00166622" w14:paraId="19AB9187" w14:textId="77777777" w:rsidTr="00453A1F">
        <w:trPr>
          <w:trHeight w:val="288"/>
        </w:trPr>
        <w:tc>
          <w:tcPr>
            <w:tcW w:w="3600" w:type="dxa"/>
          </w:tcPr>
          <w:p w14:paraId="066F7828" w14:textId="77777777" w:rsidR="007D03FA" w:rsidRPr="00CC0034" w:rsidRDefault="007D03FA" w:rsidP="007D03FA">
            <w:pPr>
              <w:pStyle w:val="Table-Head-Left"/>
              <w:spacing w:before="120" w:after="120"/>
              <w:rPr>
                <w:rFonts w:ascii="Arial" w:hAnsi="Arial" w:cs="Arial"/>
              </w:rPr>
            </w:pPr>
            <w:r w:rsidRPr="00CC0034">
              <w:rPr>
                <w:rFonts w:ascii="Arial" w:hAnsi="Arial" w:cs="Arial"/>
              </w:rPr>
              <w:t>Sequential sampling</w:t>
            </w:r>
          </w:p>
        </w:tc>
        <w:tc>
          <w:tcPr>
            <w:tcW w:w="5760" w:type="dxa"/>
          </w:tcPr>
          <w:p w14:paraId="7D61529F" w14:textId="77777777" w:rsidR="007D03FA" w:rsidRPr="00CC0034" w:rsidRDefault="007D03FA" w:rsidP="007D03FA">
            <w:pPr>
              <w:pStyle w:val="Table-Cell-Left"/>
              <w:spacing w:before="120" w:after="120"/>
              <w:rPr>
                <w:rFonts w:ascii="Arial" w:hAnsi="Arial" w:cs="Arial"/>
              </w:rPr>
            </w:pPr>
            <w:r w:rsidRPr="00CC0034">
              <w:rPr>
                <w:rFonts w:ascii="Arial" w:hAnsi="Arial" w:cs="Arial"/>
              </w:rPr>
              <w:t>A sampling plan for which the sample is selected in several steps, with each step conditional on the results of</w:t>
            </w:r>
            <w:r>
              <w:rPr>
                <w:rFonts w:ascii="Arial" w:hAnsi="Arial" w:cs="Arial"/>
              </w:rPr>
              <w:t xml:space="preserve"> the previous steps.</w:t>
            </w:r>
          </w:p>
        </w:tc>
      </w:tr>
      <w:tr w:rsidR="007D03FA" w:rsidRPr="00166622" w14:paraId="3B5F4F4D" w14:textId="77777777" w:rsidTr="00453A1F">
        <w:trPr>
          <w:trHeight w:val="288"/>
        </w:trPr>
        <w:tc>
          <w:tcPr>
            <w:tcW w:w="3600" w:type="dxa"/>
          </w:tcPr>
          <w:p w14:paraId="65FAB3F1" w14:textId="77777777" w:rsidR="007D03FA" w:rsidRPr="00CC0034" w:rsidRDefault="007D03FA" w:rsidP="007D03FA">
            <w:pPr>
              <w:pStyle w:val="Table-Head-Left"/>
              <w:spacing w:before="120" w:after="120"/>
              <w:rPr>
                <w:rFonts w:ascii="Arial" w:hAnsi="Arial" w:cs="Arial"/>
              </w:rPr>
            </w:pPr>
            <w:r w:rsidRPr="00CC0034">
              <w:rPr>
                <w:rFonts w:ascii="Arial" w:hAnsi="Arial" w:cs="Arial"/>
              </w:rPr>
              <w:t>Service organization</w:t>
            </w:r>
          </w:p>
          <w:p w14:paraId="5DD624D4" w14:textId="77777777" w:rsidR="007D03FA" w:rsidRPr="00CC0034" w:rsidRDefault="007D03FA" w:rsidP="007D03FA">
            <w:pPr>
              <w:pStyle w:val="Table-Head-Left"/>
              <w:spacing w:before="120" w:after="120"/>
              <w:rPr>
                <w:rFonts w:ascii="Arial" w:hAnsi="Arial" w:cs="Arial"/>
              </w:rPr>
            </w:pPr>
          </w:p>
        </w:tc>
        <w:tc>
          <w:tcPr>
            <w:tcW w:w="5760" w:type="dxa"/>
          </w:tcPr>
          <w:p w14:paraId="7B4FB1A7" w14:textId="77777777" w:rsidR="007D03FA" w:rsidRPr="00CC0034" w:rsidRDefault="007D03FA" w:rsidP="007D03FA">
            <w:pPr>
              <w:pStyle w:val="Table-Cell-Left"/>
              <w:spacing w:before="120" w:after="120"/>
              <w:rPr>
                <w:rFonts w:ascii="Arial" w:hAnsi="Arial" w:cs="Arial"/>
              </w:rPr>
            </w:pPr>
            <w:r w:rsidRPr="00CC0034">
              <w:rPr>
                <w:rFonts w:ascii="Arial" w:hAnsi="Arial" w:cs="Arial"/>
              </w:rPr>
              <w:t>An organization of segment of an organization that provides services to user entities that are relevant to those user entities’ internal control over financial reporting.</w:t>
            </w:r>
          </w:p>
        </w:tc>
      </w:tr>
      <w:tr w:rsidR="007D03FA" w:rsidRPr="00166622" w14:paraId="20BACE5F" w14:textId="77777777" w:rsidTr="00453A1F">
        <w:trPr>
          <w:trHeight w:val="288"/>
        </w:trPr>
        <w:tc>
          <w:tcPr>
            <w:tcW w:w="3600" w:type="dxa"/>
          </w:tcPr>
          <w:p w14:paraId="52720BB9" w14:textId="77777777" w:rsidR="007D03FA" w:rsidRPr="00CC0034" w:rsidRDefault="007D03FA" w:rsidP="007D03FA">
            <w:pPr>
              <w:pStyle w:val="Table-Head-Left"/>
              <w:spacing w:before="120" w:after="120"/>
              <w:rPr>
                <w:rFonts w:ascii="Arial" w:hAnsi="Arial" w:cs="Arial"/>
              </w:rPr>
            </w:pPr>
            <w:r w:rsidRPr="00CC0034">
              <w:rPr>
                <w:rFonts w:ascii="Arial" w:hAnsi="Arial" w:cs="Arial"/>
              </w:rPr>
              <w:t>Significant deficiency</w:t>
            </w:r>
          </w:p>
        </w:tc>
        <w:tc>
          <w:tcPr>
            <w:tcW w:w="5760" w:type="dxa"/>
          </w:tcPr>
          <w:p w14:paraId="7C388E5F" w14:textId="77777777" w:rsidR="007D03FA" w:rsidRPr="00CC0034" w:rsidRDefault="007D03FA" w:rsidP="007D03FA">
            <w:pPr>
              <w:pStyle w:val="Table-Cell-Left"/>
              <w:spacing w:before="120" w:after="120"/>
              <w:rPr>
                <w:rFonts w:ascii="Arial" w:hAnsi="Arial" w:cs="Arial"/>
              </w:rPr>
            </w:pPr>
            <w:r w:rsidRPr="00CC0034">
              <w:rPr>
                <w:rFonts w:ascii="Arial" w:hAnsi="Arial" w:cs="Arial"/>
              </w:rPr>
              <w:t>A deficiency, or a combination of deficiencies, in internal control</w:t>
            </w:r>
            <w:r>
              <w:rPr>
                <w:rFonts w:ascii="Arial" w:hAnsi="Arial" w:cs="Arial"/>
              </w:rPr>
              <w:t xml:space="preserve"> over financial reporting,</w:t>
            </w:r>
            <w:r w:rsidRPr="00CC0034">
              <w:rPr>
                <w:rFonts w:ascii="Arial" w:hAnsi="Arial" w:cs="Arial"/>
              </w:rPr>
              <w:t xml:space="preserve"> that is less severe than a material weakness yet important enough to merit attention by those charged with governance.</w:t>
            </w:r>
          </w:p>
        </w:tc>
      </w:tr>
      <w:tr w:rsidR="007D03FA" w:rsidRPr="00166622" w14:paraId="5E438F4E" w14:textId="77777777" w:rsidTr="00453A1F">
        <w:trPr>
          <w:trHeight w:val="288"/>
        </w:trPr>
        <w:tc>
          <w:tcPr>
            <w:tcW w:w="3600" w:type="dxa"/>
          </w:tcPr>
          <w:p w14:paraId="398BCFBB" w14:textId="77777777" w:rsidR="007D03FA" w:rsidRPr="00166622" w:rsidRDefault="007D03FA" w:rsidP="007D03FA">
            <w:pPr>
              <w:pStyle w:val="Table-Head-Left"/>
              <w:spacing w:before="120" w:after="120"/>
              <w:rPr>
                <w:rFonts w:ascii="Arial" w:hAnsi="Arial" w:cs="Arial"/>
              </w:rPr>
            </w:pPr>
            <w:r>
              <w:rPr>
                <w:rFonts w:ascii="Arial" w:hAnsi="Arial" w:cs="Arial"/>
              </w:rPr>
              <w:t>Special Investigator Unit</w:t>
            </w:r>
          </w:p>
        </w:tc>
        <w:tc>
          <w:tcPr>
            <w:tcW w:w="5760" w:type="dxa"/>
          </w:tcPr>
          <w:p w14:paraId="43ACFBC5" w14:textId="77777777" w:rsidR="007D03FA" w:rsidRPr="00166622" w:rsidRDefault="007D03FA" w:rsidP="007D03FA">
            <w:pPr>
              <w:pStyle w:val="Table-Cell-Left"/>
              <w:spacing w:before="120" w:after="120"/>
              <w:rPr>
                <w:rFonts w:ascii="Arial" w:hAnsi="Arial" w:cs="Arial"/>
              </w:rPr>
            </w:pPr>
            <w:r>
              <w:rPr>
                <w:rFonts w:ascii="Arial" w:hAnsi="Arial" w:cs="Arial"/>
              </w:rPr>
              <w:t xml:space="preserve">The unit </w:t>
            </w:r>
            <w:r w:rsidRPr="00624C55">
              <w:rPr>
                <w:rFonts w:ascii="Arial" w:hAnsi="Arial" w:cs="Arial"/>
              </w:rPr>
              <w:t xml:space="preserve">investigates specific allegations involving conflict-of-interest and ethics matters, contract and </w:t>
            </w:r>
            <w:r w:rsidRPr="00624C55">
              <w:rPr>
                <w:rFonts w:ascii="Arial" w:hAnsi="Arial" w:cs="Arial"/>
              </w:rPr>
              <w:lastRenderedPageBreak/>
              <w:t>procurement irregularities, official misconduct and abuse, and fraud in federal programs or activities. In the offices of the IGs, this is the investigation unit; at GAO, it is the Forensic Audits and Investigative Service team. The Special Investigator Unit provides assistance to the auditor by (1) informing the auditor of relevant pending or completed investigations of the entity and (2) investigating possible instances of fraud, waste, and abuse.</w:t>
            </w:r>
          </w:p>
        </w:tc>
      </w:tr>
      <w:tr w:rsidR="007D03FA" w:rsidRPr="00166622" w14:paraId="5C0C0610" w14:textId="77777777" w:rsidTr="00453A1F">
        <w:trPr>
          <w:trHeight w:val="288"/>
        </w:trPr>
        <w:tc>
          <w:tcPr>
            <w:tcW w:w="3600" w:type="dxa"/>
          </w:tcPr>
          <w:p w14:paraId="60DD7BE6" w14:textId="77777777" w:rsidR="007D03FA" w:rsidRPr="00166622" w:rsidRDefault="007D03FA" w:rsidP="007D03FA">
            <w:pPr>
              <w:pStyle w:val="Table-Head-Left"/>
              <w:spacing w:before="120" w:after="120"/>
              <w:rPr>
                <w:rFonts w:ascii="Arial" w:hAnsi="Arial" w:cs="Arial"/>
              </w:rPr>
            </w:pPr>
            <w:r w:rsidRPr="00166622">
              <w:rPr>
                <w:rFonts w:ascii="Arial" w:hAnsi="Arial" w:cs="Arial"/>
              </w:rPr>
              <w:lastRenderedPageBreak/>
              <w:t>Specific control evaluation (SCE)</w:t>
            </w:r>
          </w:p>
        </w:tc>
        <w:tc>
          <w:tcPr>
            <w:tcW w:w="5760" w:type="dxa"/>
          </w:tcPr>
          <w:p w14:paraId="2BE71B38" w14:textId="77777777" w:rsidR="007D03FA" w:rsidRPr="00166622" w:rsidRDefault="007D03FA" w:rsidP="007D03FA">
            <w:pPr>
              <w:pStyle w:val="Table-Cell-Left"/>
              <w:spacing w:before="120" w:after="120"/>
              <w:rPr>
                <w:rFonts w:ascii="Arial" w:hAnsi="Arial" w:cs="Arial"/>
              </w:rPr>
            </w:pPr>
            <w:r w:rsidRPr="00166622">
              <w:rPr>
                <w:rFonts w:ascii="Arial" w:hAnsi="Arial" w:cs="Arial"/>
              </w:rPr>
              <w:t>Evaluating the effectiveness of specific control activities in achieving the control objectives. This process is d</w:t>
            </w:r>
            <w:r>
              <w:rPr>
                <w:rFonts w:ascii="Arial" w:hAnsi="Arial" w:cs="Arial"/>
              </w:rPr>
              <w:t>ocumented on the SCE worksheet.</w:t>
            </w:r>
          </w:p>
        </w:tc>
      </w:tr>
      <w:tr w:rsidR="007D03FA" w:rsidRPr="00166622" w14:paraId="65217241" w14:textId="77777777" w:rsidTr="00453A1F">
        <w:trPr>
          <w:trHeight w:val="288"/>
        </w:trPr>
        <w:tc>
          <w:tcPr>
            <w:tcW w:w="3600" w:type="dxa"/>
          </w:tcPr>
          <w:p w14:paraId="54518208" w14:textId="77777777" w:rsidR="007D03FA" w:rsidRPr="00166622" w:rsidRDefault="007D03FA" w:rsidP="007D03FA">
            <w:pPr>
              <w:pStyle w:val="Table-Head-Left"/>
              <w:spacing w:before="120" w:after="120"/>
              <w:rPr>
                <w:rFonts w:ascii="Arial" w:hAnsi="Arial" w:cs="Arial"/>
              </w:rPr>
            </w:pPr>
            <w:r w:rsidRPr="00166622">
              <w:rPr>
                <w:rFonts w:ascii="Arial" w:hAnsi="Arial" w:cs="Arial"/>
              </w:rPr>
              <w:t>Standard General Ledger (SGL)</w:t>
            </w:r>
          </w:p>
        </w:tc>
        <w:tc>
          <w:tcPr>
            <w:tcW w:w="5760" w:type="dxa"/>
          </w:tcPr>
          <w:p w14:paraId="55F64E2A" w14:textId="77777777" w:rsidR="007D03FA" w:rsidRPr="00CC0034" w:rsidRDefault="007D03FA" w:rsidP="007D03FA">
            <w:pPr>
              <w:pStyle w:val="Table-Cell-Left"/>
              <w:spacing w:before="120" w:after="120"/>
              <w:rPr>
                <w:rFonts w:ascii="Arial" w:hAnsi="Arial" w:cs="Arial"/>
                <w:i/>
                <w:iCs/>
              </w:rPr>
            </w:pPr>
            <w:r w:rsidRPr="00166622">
              <w:rPr>
                <w:rFonts w:ascii="Arial" w:hAnsi="Arial" w:cs="Arial"/>
              </w:rPr>
              <w:t xml:space="preserve">A uniform chart of accounts and guidance for standardizing U.S. federal accounting. Composed of five major sections: (1) chart of accounts, (2) accounts and descriptions, (3) account transactions, (4) SGL attributes, and (5) SGL crosswalks to standard external reports. Prescribed by the Department of the Treasury in its </w:t>
            </w:r>
            <w:r>
              <w:rPr>
                <w:rFonts w:ascii="Arial" w:hAnsi="Arial" w:cs="Arial"/>
                <w:i/>
                <w:iCs/>
              </w:rPr>
              <w:t>Treasury Financial Manual.</w:t>
            </w:r>
          </w:p>
        </w:tc>
      </w:tr>
      <w:tr w:rsidR="007D03FA" w:rsidRPr="00166622" w14:paraId="146E332A" w14:textId="77777777" w:rsidTr="00453A1F">
        <w:trPr>
          <w:trHeight w:val="288"/>
        </w:trPr>
        <w:tc>
          <w:tcPr>
            <w:tcW w:w="3600" w:type="dxa"/>
          </w:tcPr>
          <w:p w14:paraId="4F290F04" w14:textId="6BF29B91" w:rsidR="007D03FA" w:rsidRPr="00166622" w:rsidRDefault="007D03FA" w:rsidP="007D03FA">
            <w:pPr>
              <w:pStyle w:val="Table-Head-Left"/>
              <w:spacing w:before="120" w:after="120"/>
              <w:rPr>
                <w:rFonts w:ascii="Arial" w:hAnsi="Arial" w:cs="Arial"/>
              </w:rPr>
            </w:pPr>
            <w:r w:rsidRPr="00166622">
              <w:rPr>
                <w:rFonts w:ascii="Arial" w:hAnsi="Arial" w:cs="Arial"/>
              </w:rPr>
              <w:t>Standard General Le</w:t>
            </w:r>
            <w:r w:rsidR="00D72A1A">
              <w:rPr>
                <w:rFonts w:ascii="Arial" w:hAnsi="Arial" w:cs="Arial"/>
              </w:rPr>
              <w:t xml:space="preserve">dger (SGL) at the transaction  </w:t>
            </w:r>
            <w:r w:rsidRPr="00166622">
              <w:rPr>
                <w:rFonts w:ascii="Arial" w:hAnsi="Arial" w:cs="Arial"/>
              </w:rPr>
              <w:t>level</w:t>
            </w:r>
          </w:p>
        </w:tc>
        <w:tc>
          <w:tcPr>
            <w:tcW w:w="5760" w:type="dxa"/>
          </w:tcPr>
          <w:p w14:paraId="7531D967" w14:textId="3AF26889" w:rsidR="007D03FA" w:rsidRPr="00166622" w:rsidRDefault="007D03FA" w:rsidP="007D03FA">
            <w:pPr>
              <w:pStyle w:val="Table-Cell-Left"/>
              <w:spacing w:before="120" w:after="120"/>
              <w:rPr>
                <w:rFonts w:ascii="Arial" w:hAnsi="Arial" w:cs="Arial"/>
              </w:rPr>
            </w:pPr>
            <w:r w:rsidRPr="00166622">
              <w:rPr>
                <w:rFonts w:ascii="Arial" w:hAnsi="Arial" w:cs="Arial"/>
              </w:rPr>
              <w:t>One of th</w:t>
            </w:r>
            <w:r w:rsidR="00D72A1A">
              <w:rPr>
                <w:rFonts w:ascii="Arial" w:hAnsi="Arial" w:cs="Arial"/>
              </w:rPr>
              <w:t xml:space="preserve">e three requirements of FFMIA. </w:t>
            </w:r>
            <w:r w:rsidRPr="00166622">
              <w:rPr>
                <w:rFonts w:ascii="Arial" w:hAnsi="Arial" w:cs="Arial"/>
              </w:rPr>
              <w:t>Implementing the SGL at the transaction level means that transactions are recorded in full compliance with the SGL Chart of Account’s descriptions and posting models/attributes that demonstrate how the SGL is to be used for recording transactions of the federal government accounting process; reports produced by the systems provide financial information, whether used internally or externally, that can be traced directly to the SGL accounts; and transactions from feeder systems, which may be summarized and interfaced into the core financial system’s general ledger, are post</w:t>
            </w:r>
            <w:r>
              <w:rPr>
                <w:rFonts w:ascii="Arial" w:hAnsi="Arial" w:cs="Arial"/>
              </w:rPr>
              <w:t xml:space="preserve">ed following SGL requirements. </w:t>
            </w:r>
          </w:p>
        </w:tc>
      </w:tr>
      <w:tr w:rsidR="007D03FA" w:rsidRPr="00166622" w14:paraId="41159F3E" w14:textId="77777777" w:rsidTr="00453A1F">
        <w:trPr>
          <w:trHeight w:val="288"/>
        </w:trPr>
        <w:tc>
          <w:tcPr>
            <w:tcW w:w="3600" w:type="dxa"/>
          </w:tcPr>
          <w:p w14:paraId="62AD97B7" w14:textId="77777777" w:rsidR="007D03FA" w:rsidRPr="00CC0034" w:rsidRDefault="007D03FA" w:rsidP="007D03FA">
            <w:pPr>
              <w:pStyle w:val="Table-Head-Left"/>
              <w:spacing w:before="120" w:after="120"/>
              <w:rPr>
                <w:rFonts w:ascii="Arial" w:hAnsi="Arial" w:cs="Arial"/>
              </w:rPr>
            </w:pPr>
            <w:r w:rsidRPr="00CC0034">
              <w:rPr>
                <w:rFonts w:ascii="Arial" w:hAnsi="Arial" w:cs="Arial"/>
              </w:rPr>
              <w:t>Statistical sampling</w:t>
            </w:r>
          </w:p>
        </w:tc>
        <w:tc>
          <w:tcPr>
            <w:tcW w:w="5760" w:type="dxa"/>
          </w:tcPr>
          <w:p w14:paraId="38A22FEE" w14:textId="77777777" w:rsidR="007D03FA" w:rsidRPr="00CC0034" w:rsidRDefault="007D03FA" w:rsidP="007D03FA">
            <w:pPr>
              <w:pStyle w:val="Table-Cell-Left"/>
              <w:spacing w:before="120" w:after="120"/>
              <w:rPr>
                <w:rFonts w:ascii="Arial" w:hAnsi="Arial" w:cs="Arial"/>
              </w:rPr>
            </w:pPr>
            <w:r w:rsidRPr="00CC0034">
              <w:rPr>
                <w:rFonts w:ascii="Arial" w:hAnsi="Arial" w:cs="Arial"/>
              </w:rPr>
              <w:t>Audit sampling that uses the laws of probability for selecting and evaluating a sample from a population for the purpose of reaching a conclusion about the population.</w:t>
            </w:r>
          </w:p>
        </w:tc>
      </w:tr>
      <w:tr w:rsidR="007D03FA" w:rsidRPr="00166622" w14:paraId="27DD8DAD" w14:textId="77777777" w:rsidTr="00453A1F">
        <w:trPr>
          <w:trHeight w:val="288"/>
        </w:trPr>
        <w:tc>
          <w:tcPr>
            <w:tcW w:w="3600" w:type="dxa"/>
          </w:tcPr>
          <w:p w14:paraId="758AE8EF" w14:textId="77777777" w:rsidR="007D03FA" w:rsidRPr="00CC0034" w:rsidRDefault="007D03FA" w:rsidP="007D03FA">
            <w:pPr>
              <w:pStyle w:val="Table-Head-Left"/>
              <w:spacing w:before="120" w:after="120"/>
              <w:rPr>
                <w:rFonts w:ascii="Arial" w:hAnsi="Arial" w:cs="Arial"/>
              </w:rPr>
            </w:pPr>
            <w:r>
              <w:rPr>
                <w:rFonts w:ascii="Arial" w:hAnsi="Arial" w:cs="Arial"/>
              </w:rPr>
              <w:t>S</w:t>
            </w:r>
            <w:r w:rsidRPr="009E6171">
              <w:rPr>
                <w:rFonts w:ascii="Arial" w:hAnsi="Arial" w:cs="Arial"/>
              </w:rPr>
              <w:t>tatistician</w:t>
            </w:r>
            <w:r>
              <w:rPr>
                <w:rFonts w:ascii="Arial" w:hAnsi="Arial" w:cs="Arial"/>
              </w:rPr>
              <w:t xml:space="preserve"> (</w:t>
            </w:r>
            <w:r w:rsidRPr="009E6171">
              <w:rPr>
                <w:rFonts w:ascii="Arial" w:hAnsi="Arial" w:cs="Arial"/>
              </w:rPr>
              <w:t>audit sampling specialist</w:t>
            </w:r>
            <w:r>
              <w:rPr>
                <w:rFonts w:ascii="Arial" w:hAnsi="Arial" w:cs="Arial"/>
              </w:rPr>
              <w:t>)</w:t>
            </w:r>
          </w:p>
        </w:tc>
        <w:tc>
          <w:tcPr>
            <w:tcW w:w="5760" w:type="dxa"/>
          </w:tcPr>
          <w:p w14:paraId="6D1709BD" w14:textId="77777777" w:rsidR="007D03FA" w:rsidRPr="00CC0034" w:rsidRDefault="007D03FA" w:rsidP="007D03FA">
            <w:pPr>
              <w:pStyle w:val="Table-Cell-Left"/>
              <w:spacing w:before="120" w:after="120"/>
              <w:rPr>
                <w:rFonts w:ascii="Arial" w:hAnsi="Arial" w:cs="Arial"/>
              </w:rPr>
            </w:pPr>
            <w:r>
              <w:rPr>
                <w:rFonts w:ascii="Arial" w:hAnsi="Arial" w:cs="Arial"/>
              </w:rPr>
              <w:t xml:space="preserve">The </w:t>
            </w:r>
            <w:r w:rsidRPr="009E6171">
              <w:rPr>
                <w:rFonts w:ascii="Arial" w:hAnsi="Arial" w:cs="Arial"/>
              </w:rPr>
              <w:t xml:space="preserve">person the auditor consults for technical expertise in areas such as audit sampling, audit </w:t>
            </w:r>
            <w:r w:rsidRPr="009E6171">
              <w:rPr>
                <w:rFonts w:ascii="Arial" w:hAnsi="Arial" w:cs="Arial"/>
              </w:rPr>
              <w:lastRenderedPageBreak/>
              <w:t>sample evaluation, and selecting entity field locations to visit.</w:t>
            </w:r>
          </w:p>
        </w:tc>
      </w:tr>
      <w:tr w:rsidR="007D03FA" w:rsidRPr="00166622" w14:paraId="7108A961" w14:textId="77777777" w:rsidTr="00453A1F">
        <w:trPr>
          <w:trHeight w:val="288"/>
        </w:trPr>
        <w:tc>
          <w:tcPr>
            <w:tcW w:w="3600" w:type="dxa"/>
          </w:tcPr>
          <w:p w14:paraId="7990DC9E" w14:textId="77777777" w:rsidR="007D03FA" w:rsidRPr="00166622" w:rsidRDefault="007D03FA" w:rsidP="007D03FA">
            <w:pPr>
              <w:pStyle w:val="Table-Head-Left"/>
              <w:spacing w:before="120" w:after="120"/>
              <w:rPr>
                <w:rFonts w:ascii="Arial" w:hAnsi="Arial" w:cs="Arial"/>
              </w:rPr>
            </w:pPr>
            <w:r w:rsidRPr="00166622">
              <w:rPr>
                <w:rFonts w:ascii="Arial" w:hAnsi="Arial" w:cs="Arial"/>
              </w:rPr>
              <w:lastRenderedPageBreak/>
              <w:t>Stewardship information</w:t>
            </w:r>
          </w:p>
        </w:tc>
        <w:tc>
          <w:tcPr>
            <w:tcW w:w="5760" w:type="dxa"/>
          </w:tcPr>
          <w:p w14:paraId="456C9122" w14:textId="0C394DEF" w:rsidR="007D03FA" w:rsidRPr="00166622" w:rsidRDefault="007D03FA" w:rsidP="00D72A1A">
            <w:pPr>
              <w:pStyle w:val="Table-Cell-Left"/>
              <w:spacing w:before="120" w:after="120"/>
              <w:rPr>
                <w:rFonts w:ascii="Arial" w:hAnsi="Arial" w:cs="Arial"/>
              </w:rPr>
            </w:pPr>
            <w:r w:rsidRPr="00166622">
              <w:rPr>
                <w:rFonts w:ascii="Arial" w:hAnsi="Arial" w:cs="Arial"/>
              </w:rPr>
              <w:t>Required supplementary stewardship information includes stewardship investments that are substantial investments made by the federal government for the benefit of the nation but are not physical assets owned by the federal government. When incurred, they are treated as expenses in determining the net cost of operations. Such investments should be measured in terms of expen</w:t>
            </w:r>
            <w:r w:rsidR="00D72A1A">
              <w:rPr>
                <w:rFonts w:ascii="Arial" w:hAnsi="Arial" w:cs="Arial"/>
              </w:rPr>
              <w:t xml:space="preserve">ses incurred for: (1) federally </w:t>
            </w:r>
            <w:r w:rsidRPr="00166622">
              <w:rPr>
                <w:rFonts w:ascii="Arial" w:hAnsi="Arial" w:cs="Arial"/>
              </w:rPr>
              <w:t>financed but not federally</w:t>
            </w:r>
            <w:r w:rsidR="00D72A1A">
              <w:rPr>
                <w:rFonts w:ascii="Arial" w:hAnsi="Arial" w:cs="Arial"/>
              </w:rPr>
              <w:t xml:space="preserve"> owned physical property (non</w:t>
            </w:r>
            <w:r w:rsidRPr="00166622">
              <w:rPr>
                <w:rFonts w:ascii="Arial" w:hAnsi="Arial" w:cs="Arial"/>
              </w:rPr>
              <w:t>federal physical property), (2) certain education and training programs (hu</w:t>
            </w:r>
            <w:r w:rsidR="00D72A1A">
              <w:rPr>
                <w:rFonts w:ascii="Arial" w:hAnsi="Arial" w:cs="Arial"/>
              </w:rPr>
              <w:t xml:space="preserve">man capital), and (3) federally </w:t>
            </w:r>
            <w:r w:rsidRPr="00166622">
              <w:rPr>
                <w:rFonts w:ascii="Arial" w:hAnsi="Arial" w:cs="Arial"/>
              </w:rPr>
              <w:t xml:space="preserve">financed research and development </w:t>
            </w:r>
            <w:r w:rsidR="00D72A1A">
              <w:rPr>
                <w:rFonts w:ascii="Arial" w:hAnsi="Arial" w:cs="Arial"/>
              </w:rPr>
              <w:t>(research and development). Non</w:t>
            </w:r>
            <w:r w:rsidRPr="00166622">
              <w:rPr>
                <w:rFonts w:ascii="Arial" w:hAnsi="Arial" w:cs="Arial"/>
              </w:rPr>
              <w:t>federal physical property investments are expenses incurred by the reporting entity for the purchase, construction, or major renovation of physical property owned by state and local governments. Human capital investments are expenses incurred to increase or maintain national economic productivity capacity and to produce outputs and outcomes that provide evidence of maintaining or increasing national productive capacity. (The definition excludes education and training expenses for federal civilian and military personnel.) Research and development investments are expenses incurred to support the search for new or refined knowledge and ideas and for the application or use of such knowledge and ideas for developing new or improved products and processes, with the expectation of maintaining or increasing national economic productive capacity or y</w:t>
            </w:r>
            <w:r>
              <w:rPr>
                <w:rFonts w:ascii="Arial" w:hAnsi="Arial" w:cs="Arial"/>
              </w:rPr>
              <w:t xml:space="preserve">ielding other future benefits. </w:t>
            </w:r>
          </w:p>
        </w:tc>
      </w:tr>
      <w:tr w:rsidR="007D03FA" w:rsidRPr="00166622" w14:paraId="09A9FAF4" w14:textId="77777777" w:rsidTr="00453A1F">
        <w:trPr>
          <w:trHeight w:val="288"/>
        </w:trPr>
        <w:tc>
          <w:tcPr>
            <w:tcW w:w="3600" w:type="dxa"/>
          </w:tcPr>
          <w:p w14:paraId="7456DAE2" w14:textId="77777777" w:rsidR="007D03FA" w:rsidRPr="00B64BE3" w:rsidRDefault="007D03FA" w:rsidP="007D03FA">
            <w:pPr>
              <w:pStyle w:val="Table-Head-Left"/>
              <w:spacing w:before="120" w:after="120"/>
              <w:rPr>
                <w:rFonts w:ascii="Arial" w:hAnsi="Arial" w:cs="Arial"/>
              </w:rPr>
            </w:pPr>
            <w:r w:rsidRPr="00B64BE3">
              <w:rPr>
                <w:rFonts w:ascii="Arial" w:hAnsi="Arial" w:cs="Arial"/>
              </w:rPr>
              <w:t>Stewardship land</w:t>
            </w:r>
          </w:p>
        </w:tc>
        <w:tc>
          <w:tcPr>
            <w:tcW w:w="5760" w:type="dxa"/>
          </w:tcPr>
          <w:p w14:paraId="4317F8A0" w14:textId="77777777" w:rsidR="007D03FA" w:rsidRPr="00B64BE3" w:rsidRDefault="007D03FA" w:rsidP="007D03FA">
            <w:pPr>
              <w:pStyle w:val="Table-Cell-Left"/>
              <w:spacing w:before="120" w:after="120"/>
              <w:rPr>
                <w:rFonts w:ascii="Arial" w:hAnsi="Arial" w:cs="Arial"/>
              </w:rPr>
            </w:pPr>
            <w:r w:rsidRPr="00B64BE3">
              <w:rPr>
                <w:rFonts w:ascii="Arial" w:hAnsi="Arial" w:cs="Arial"/>
              </w:rPr>
              <w:t>Land and rights owned by the federal government but not acquired for in conn</w:t>
            </w:r>
            <w:r>
              <w:rPr>
                <w:rFonts w:ascii="Arial" w:hAnsi="Arial" w:cs="Arial"/>
              </w:rPr>
              <w:t>ect with items of general PP&amp;E.</w:t>
            </w:r>
          </w:p>
        </w:tc>
      </w:tr>
      <w:tr w:rsidR="007D03FA" w:rsidRPr="00166622" w14:paraId="6B0B77FA" w14:textId="77777777" w:rsidTr="00453A1F">
        <w:trPr>
          <w:trHeight w:val="288"/>
        </w:trPr>
        <w:tc>
          <w:tcPr>
            <w:tcW w:w="3600" w:type="dxa"/>
            <w:shd w:val="clear" w:color="auto" w:fill="auto"/>
          </w:tcPr>
          <w:p w14:paraId="590D1A89" w14:textId="77777777" w:rsidR="007D03FA" w:rsidRPr="00B64BE3" w:rsidRDefault="007D03FA" w:rsidP="007D03FA">
            <w:pPr>
              <w:pStyle w:val="Table-Head-Left"/>
              <w:spacing w:before="120" w:after="120"/>
              <w:rPr>
                <w:rFonts w:ascii="Arial" w:hAnsi="Arial" w:cs="Arial"/>
              </w:rPr>
            </w:pPr>
            <w:r w:rsidRPr="00B64BE3">
              <w:rPr>
                <w:rFonts w:ascii="Arial" w:hAnsi="Arial" w:cs="Arial"/>
              </w:rPr>
              <w:t>Stratification</w:t>
            </w:r>
          </w:p>
        </w:tc>
        <w:tc>
          <w:tcPr>
            <w:tcW w:w="5760" w:type="dxa"/>
            <w:shd w:val="clear" w:color="auto" w:fill="auto"/>
          </w:tcPr>
          <w:p w14:paraId="66BFE6F0" w14:textId="77777777" w:rsidR="007D03FA" w:rsidRPr="00B64BE3" w:rsidRDefault="007D03FA" w:rsidP="007D03FA">
            <w:pPr>
              <w:pStyle w:val="Table-Cell-Left"/>
              <w:spacing w:before="120" w:after="120"/>
              <w:rPr>
                <w:rFonts w:ascii="Arial" w:hAnsi="Arial" w:cs="Arial"/>
              </w:rPr>
            </w:pPr>
            <w:r w:rsidRPr="00B64BE3">
              <w:rPr>
                <w:rFonts w:ascii="Arial" w:hAnsi="Arial" w:cs="Arial"/>
              </w:rPr>
              <w:t>The process of dividing a population into subpopulations, each of which is a group of sampling units that have similar characteristics. Stratification may be used to focus procedures on risk areas or to reduce variability in sampling populations.</w:t>
            </w:r>
          </w:p>
        </w:tc>
      </w:tr>
      <w:tr w:rsidR="007D03FA" w:rsidRPr="00166622" w14:paraId="40AFC221" w14:textId="77777777" w:rsidTr="00453A1F">
        <w:trPr>
          <w:trHeight w:val="288"/>
        </w:trPr>
        <w:tc>
          <w:tcPr>
            <w:tcW w:w="3600" w:type="dxa"/>
          </w:tcPr>
          <w:p w14:paraId="32069627" w14:textId="77777777" w:rsidR="007D03FA" w:rsidRPr="00B64BE3" w:rsidRDefault="007D03FA" w:rsidP="007D03FA">
            <w:pPr>
              <w:pStyle w:val="Table-Head-Left"/>
              <w:spacing w:before="120" w:after="120"/>
              <w:rPr>
                <w:rFonts w:ascii="Arial" w:hAnsi="Arial" w:cs="Arial"/>
              </w:rPr>
            </w:pPr>
            <w:r w:rsidRPr="00B64BE3">
              <w:rPr>
                <w:rFonts w:ascii="Arial" w:hAnsi="Arial" w:cs="Arial"/>
              </w:rPr>
              <w:lastRenderedPageBreak/>
              <w:t>Subsequent events</w:t>
            </w:r>
          </w:p>
        </w:tc>
        <w:tc>
          <w:tcPr>
            <w:tcW w:w="5760" w:type="dxa"/>
          </w:tcPr>
          <w:p w14:paraId="41BB1209" w14:textId="77777777" w:rsidR="007D03FA" w:rsidRPr="00B64BE3" w:rsidRDefault="007D03FA" w:rsidP="007D03FA">
            <w:pPr>
              <w:pStyle w:val="Table-Cell-Left"/>
              <w:spacing w:before="120" w:after="120"/>
              <w:rPr>
                <w:rFonts w:ascii="Arial" w:hAnsi="Arial" w:cs="Arial"/>
              </w:rPr>
            </w:pPr>
            <w:r w:rsidRPr="00B64BE3">
              <w:rPr>
                <w:rFonts w:ascii="Arial" w:hAnsi="Arial" w:cs="Arial"/>
              </w:rPr>
              <w:t xml:space="preserve">Events or transactions that affect the basic information or RSI that may occur or become known between the date of the financial statements and the date of the auditor’s report. </w:t>
            </w:r>
          </w:p>
        </w:tc>
      </w:tr>
      <w:tr w:rsidR="007D03FA" w:rsidRPr="00166622" w14:paraId="7066CABB" w14:textId="77777777" w:rsidTr="00453A1F">
        <w:trPr>
          <w:trHeight w:val="288"/>
        </w:trPr>
        <w:tc>
          <w:tcPr>
            <w:tcW w:w="3600" w:type="dxa"/>
            <w:shd w:val="clear" w:color="auto" w:fill="auto"/>
          </w:tcPr>
          <w:p w14:paraId="31B7442E" w14:textId="77777777" w:rsidR="007D03FA" w:rsidRPr="00B64BE3" w:rsidRDefault="007D03FA" w:rsidP="007D03FA">
            <w:pPr>
              <w:pStyle w:val="Table-Head-Left"/>
              <w:spacing w:before="120" w:after="120"/>
              <w:rPr>
                <w:rFonts w:ascii="Arial" w:hAnsi="Arial" w:cs="Arial"/>
              </w:rPr>
            </w:pPr>
            <w:r w:rsidRPr="00B64BE3">
              <w:rPr>
                <w:rFonts w:ascii="Arial" w:hAnsi="Arial" w:cs="Arial"/>
              </w:rPr>
              <w:t>Subsequently discovered facts</w:t>
            </w:r>
          </w:p>
        </w:tc>
        <w:tc>
          <w:tcPr>
            <w:tcW w:w="5760" w:type="dxa"/>
            <w:shd w:val="clear" w:color="auto" w:fill="auto"/>
          </w:tcPr>
          <w:p w14:paraId="5EBF6A88" w14:textId="77777777" w:rsidR="007D03FA" w:rsidRPr="00B64BE3" w:rsidRDefault="007D03FA" w:rsidP="007D03FA">
            <w:pPr>
              <w:pStyle w:val="Table-Cell-Left"/>
              <w:spacing w:before="120" w:after="120"/>
              <w:rPr>
                <w:rFonts w:ascii="Arial" w:hAnsi="Arial" w:cs="Arial"/>
              </w:rPr>
            </w:pPr>
            <w:r w:rsidRPr="00B64BE3">
              <w:rPr>
                <w:rFonts w:ascii="Arial" w:hAnsi="Arial" w:cs="Arial"/>
              </w:rPr>
              <w:t>Facts that become known to the auditor after the date of the auditor's report that, had they been known to the auditor at that date, may have caused the auditor to revise the auditor's report.</w:t>
            </w:r>
          </w:p>
        </w:tc>
      </w:tr>
      <w:tr w:rsidR="007D03FA" w:rsidRPr="00166622" w14:paraId="0CA34A13" w14:textId="77777777" w:rsidTr="00453A1F">
        <w:trPr>
          <w:trHeight w:val="288"/>
        </w:trPr>
        <w:tc>
          <w:tcPr>
            <w:tcW w:w="3600" w:type="dxa"/>
            <w:shd w:val="clear" w:color="auto" w:fill="auto"/>
          </w:tcPr>
          <w:p w14:paraId="327C5448" w14:textId="77777777" w:rsidR="007D03FA" w:rsidRPr="00B64BE3" w:rsidRDefault="007D03FA" w:rsidP="007D03FA">
            <w:pPr>
              <w:pStyle w:val="Table-Head-Left"/>
              <w:spacing w:before="120" w:after="120"/>
              <w:rPr>
                <w:rFonts w:ascii="Arial" w:hAnsi="Arial" w:cs="Arial"/>
              </w:rPr>
            </w:pPr>
            <w:r w:rsidRPr="00B64BE3">
              <w:rPr>
                <w:rFonts w:ascii="Arial" w:hAnsi="Arial" w:cs="Arial"/>
              </w:rPr>
              <w:t>Substantive analytical procedures</w:t>
            </w:r>
          </w:p>
        </w:tc>
        <w:tc>
          <w:tcPr>
            <w:tcW w:w="5760" w:type="dxa"/>
            <w:shd w:val="clear" w:color="auto" w:fill="auto"/>
          </w:tcPr>
          <w:p w14:paraId="66BA1ACE" w14:textId="77777777" w:rsidR="007D03FA" w:rsidRPr="00B64BE3" w:rsidRDefault="007D03FA" w:rsidP="007D03FA">
            <w:pPr>
              <w:pStyle w:val="Table-Cell-Left"/>
              <w:spacing w:before="120" w:after="120"/>
              <w:rPr>
                <w:rFonts w:ascii="Arial" w:hAnsi="Arial" w:cs="Arial"/>
              </w:rPr>
            </w:pPr>
            <w:r w:rsidRPr="00B64BE3">
              <w:rPr>
                <w:rFonts w:ascii="Arial" w:hAnsi="Arial" w:cs="Arial"/>
              </w:rPr>
              <w:t>The comparison of a recorded amount with an expectation of that amount and subsequent investigation of any significant differences to reach a conclusion on the recorded amount</w:t>
            </w:r>
            <w:r>
              <w:rPr>
                <w:rFonts w:ascii="Arial" w:hAnsi="Arial" w:cs="Arial"/>
              </w:rPr>
              <w:t>.</w:t>
            </w:r>
          </w:p>
        </w:tc>
      </w:tr>
      <w:tr w:rsidR="007D03FA" w:rsidRPr="00166622" w14:paraId="3D327DF0" w14:textId="77777777" w:rsidTr="00453A1F">
        <w:trPr>
          <w:trHeight w:val="288"/>
        </w:trPr>
        <w:tc>
          <w:tcPr>
            <w:tcW w:w="3600" w:type="dxa"/>
          </w:tcPr>
          <w:p w14:paraId="6F5D6A54" w14:textId="77777777" w:rsidR="007D03FA" w:rsidRPr="00166622" w:rsidRDefault="007D03FA" w:rsidP="007D03FA">
            <w:pPr>
              <w:pStyle w:val="Table-Head-Left"/>
              <w:spacing w:before="120" w:after="120"/>
              <w:rPr>
                <w:rFonts w:ascii="Arial" w:hAnsi="Arial" w:cs="Arial"/>
              </w:rPr>
            </w:pPr>
            <w:r w:rsidRPr="00166622">
              <w:rPr>
                <w:rFonts w:ascii="Arial" w:hAnsi="Arial" w:cs="Arial"/>
              </w:rPr>
              <w:t>Substantive audit assurance</w:t>
            </w:r>
          </w:p>
        </w:tc>
        <w:tc>
          <w:tcPr>
            <w:tcW w:w="5760" w:type="dxa"/>
          </w:tcPr>
          <w:p w14:paraId="6DC517E4" w14:textId="77777777" w:rsidR="007D03FA" w:rsidRPr="00166622" w:rsidRDefault="007D03FA" w:rsidP="007D03FA">
            <w:pPr>
              <w:pStyle w:val="Table-Cell-Left"/>
              <w:spacing w:before="120" w:after="120"/>
              <w:rPr>
                <w:rFonts w:ascii="Arial" w:hAnsi="Arial" w:cs="Arial"/>
              </w:rPr>
            </w:pPr>
            <w:r w:rsidRPr="00166622">
              <w:rPr>
                <w:rFonts w:ascii="Arial" w:hAnsi="Arial" w:cs="Arial"/>
              </w:rPr>
              <w:t>The auditor’s judgment about the probability that all substantive tests of an assertion will detect aggregate misstatements that exceed materiality. Not the same</w:t>
            </w:r>
            <w:r>
              <w:rPr>
                <w:rFonts w:ascii="Arial" w:hAnsi="Arial" w:cs="Arial"/>
              </w:rPr>
              <w:t xml:space="preserve"> as confidence level.</w:t>
            </w:r>
          </w:p>
        </w:tc>
      </w:tr>
      <w:tr w:rsidR="007D03FA" w:rsidRPr="00166622" w14:paraId="638CADBF" w14:textId="77777777" w:rsidTr="00453A1F">
        <w:trPr>
          <w:trHeight w:val="288"/>
        </w:trPr>
        <w:tc>
          <w:tcPr>
            <w:tcW w:w="3600" w:type="dxa"/>
          </w:tcPr>
          <w:p w14:paraId="5516409F" w14:textId="77777777" w:rsidR="007D03FA" w:rsidRPr="00B64BE3" w:rsidRDefault="007D03FA" w:rsidP="007D03FA">
            <w:pPr>
              <w:pStyle w:val="Table-Head-Left"/>
              <w:spacing w:before="120" w:after="120"/>
              <w:rPr>
                <w:rFonts w:ascii="Arial" w:hAnsi="Arial" w:cs="Arial"/>
              </w:rPr>
            </w:pPr>
            <w:r w:rsidRPr="00B64BE3">
              <w:rPr>
                <w:rFonts w:ascii="Arial" w:hAnsi="Arial" w:cs="Arial"/>
              </w:rPr>
              <w:t>Substantive procedures or tests</w:t>
            </w:r>
          </w:p>
        </w:tc>
        <w:tc>
          <w:tcPr>
            <w:tcW w:w="5760" w:type="dxa"/>
          </w:tcPr>
          <w:p w14:paraId="51B9E4D5" w14:textId="77777777" w:rsidR="007D03FA" w:rsidRPr="00B64BE3" w:rsidRDefault="007D03FA" w:rsidP="007D03FA">
            <w:pPr>
              <w:pStyle w:val="Table-Cell-Left"/>
              <w:spacing w:before="120" w:after="120"/>
              <w:rPr>
                <w:rFonts w:ascii="Arial" w:hAnsi="Arial" w:cs="Arial"/>
              </w:rPr>
            </w:pPr>
            <w:r w:rsidRPr="00B64BE3">
              <w:rPr>
                <w:rFonts w:ascii="Arial" w:hAnsi="Arial" w:cs="Arial"/>
              </w:rPr>
              <w:t>Audit procedures designed to detect material misstatements at the assertion level. Substantive procedures comprise tests of details and sub</w:t>
            </w:r>
            <w:r>
              <w:rPr>
                <w:rFonts w:ascii="Arial" w:hAnsi="Arial" w:cs="Arial"/>
              </w:rPr>
              <w:t>stantive analytical procedures.</w:t>
            </w:r>
          </w:p>
        </w:tc>
      </w:tr>
      <w:tr w:rsidR="007D03FA" w:rsidRPr="00166622" w14:paraId="12E97086" w14:textId="77777777" w:rsidTr="00453A1F">
        <w:trPr>
          <w:trHeight w:val="288"/>
        </w:trPr>
        <w:tc>
          <w:tcPr>
            <w:tcW w:w="3600" w:type="dxa"/>
          </w:tcPr>
          <w:p w14:paraId="26F26795" w14:textId="77777777" w:rsidR="007D03FA" w:rsidRPr="00B64BE3" w:rsidRDefault="007D03FA" w:rsidP="007D03FA">
            <w:pPr>
              <w:pStyle w:val="Table-Head-Left"/>
              <w:spacing w:before="120" w:after="120"/>
              <w:rPr>
                <w:rFonts w:ascii="Arial" w:hAnsi="Arial" w:cs="Arial"/>
              </w:rPr>
            </w:pPr>
            <w:r w:rsidRPr="00B64BE3">
              <w:rPr>
                <w:rFonts w:ascii="Arial" w:hAnsi="Arial" w:cs="Arial"/>
              </w:rPr>
              <w:t>Suffici</w:t>
            </w:r>
            <w:r>
              <w:rPr>
                <w:rFonts w:ascii="Arial" w:hAnsi="Arial" w:cs="Arial"/>
              </w:rPr>
              <w:t>ency</w:t>
            </w:r>
          </w:p>
          <w:p w14:paraId="3C7C87E3" w14:textId="77777777" w:rsidR="007D03FA" w:rsidRPr="00B64BE3" w:rsidRDefault="007D03FA" w:rsidP="007D03FA">
            <w:pPr>
              <w:pStyle w:val="Table-Head-Left"/>
              <w:spacing w:before="120" w:after="120"/>
              <w:rPr>
                <w:rFonts w:ascii="Arial" w:hAnsi="Arial" w:cs="Arial"/>
              </w:rPr>
            </w:pPr>
          </w:p>
        </w:tc>
        <w:tc>
          <w:tcPr>
            <w:tcW w:w="5760" w:type="dxa"/>
          </w:tcPr>
          <w:p w14:paraId="1075D141" w14:textId="77777777" w:rsidR="007D03FA" w:rsidRPr="00B64BE3" w:rsidRDefault="007D03FA" w:rsidP="007D03FA">
            <w:pPr>
              <w:pStyle w:val="Table-Cell-Left"/>
              <w:spacing w:before="120" w:after="120"/>
              <w:rPr>
                <w:rFonts w:ascii="Arial" w:hAnsi="Arial" w:cs="Arial"/>
              </w:rPr>
            </w:pPr>
            <w:r w:rsidRPr="00B64BE3">
              <w:rPr>
                <w:rFonts w:ascii="Arial" w:hAnsi="Arial" w:cs="Arial"/>
              </w:rPr>
              <w:t>Sufficiency of audit evidence is the measure of the quantity of audit evidence. The quantity of the audit evidence needed is affected by the auditor's assessment of the risks of material misstatement and also by the quality of such audit evidence.</w:t>
            </w:r>
          </w:p>
        </w:tc>
      </w:tr>
      <w:tr w:rsidR="007D03FA" w:rsidRPr="00166622" w14:paraId="52881BEE" w14:textId="77777777" w:rsidTr="00453A1F">
        <w:trPr>
          <w:trHeight w:val="288"/>
        </w:trPr>
        <w:tc>
          <w:tcPr>
            <w:tcW w:w="3600" w:type="dxa"/>
            <w:shd w:val="clear" w:color="auto" w:fill="auto"/>
          </w:tcPr>
          <w:p w14:paraId="208E8A37" w14:textId="77777777" w:rsidR="007D03FA" w:rsidRPr="00B64BE3" w:rsidRDefault="007D03FA" w:rsidP="007D03FA">
            <w:pPr>
              <w:pStyle w:val="Table-Head-Left"/>
              <w:spacing w:before="120" w:after="120"/>
              <w:rPr>
                <w:rFonts w:ascii="Arial" w:hAnsi="Arial" w:cs="Arial"/>
              </w:rPr>
            </w:pPr>
            <w:r w:rsidRPr="00B64BE3">
              <w:rPr>
                <w:rFonts w:ascii="Arial" w:hAnsi="Arial" w:cs="Arial"/>
              </w:rPr>
              <w:t>Suitable criteria</w:t>
            </w:r>
          </w:p>
        </w:tc>
        <w:tc>
          <w:tcPr>
            <w:tcW w:w="5760" w:type="dxa"/>
            <w:shd w:val="clear" w:color="auto" w:fill="auto"/>
          </w:tcPr>
          <w:p w14:paraId="1759290A" w14:textId="77777777" w:rsidR="007D03FA" w:rsidRPr="00B64BE3" w:rsidRDefault="007D03FA" w:rsidP="007D03FA">
            <w:pPr>
              <w:pStyle w:val="Table-Cell-Left"/>
              <w:spacing w:before="120" w:after="120"/>
              <w:rPr>
                <w:rFonts w:ascii="Arial" w:hAnsi="Arial" w:cs="Arial"/>
              </w:rPr>
            </w:pPr>
            <w:r w:rsidRPr="00B64BE3">
              <w:rPr>
                <w:rFonts w:ascii="Arial" w:hAnsi="Arial" w:cs="Arial"/>
              </w:rPr>
              <w:t>In agreed upon procedures engagements or other attestation engagement engagements, standards for acceptability which have the attributes of objectivity, measurabilit</w:t>
            </w:r>
            <w:r>
              <w:rPr>
                <w:rFonts w:ascii="Arial" w:hAnsi="Arial" w:cs="Arial"/>
              </w:rPr>
              <w:t>y, completeness, and relevance.</w:t>
            </w:r>
          </w:p>
        </w:tc>
      </w:tr>
      <w:tr w:rsidR="007D03FA" w:rsidRPr="00166622" w14:paraId="1CF38E7E" w14:textId="77777777" w:rsidTr="00453A1F">
        <w:trPr>
          <w:trHeight w:val="288"/>
        </w:trPr>
        <w:tc>
          <w:tcPr>
            <w:tcW w:w="3600" w:type="dxa"/>
          </w:tcPr>
          <w:p w14:paraId="4AA4553F" w14:textId="77777777" w:rsidR="007D03FA" w:rsidRPr="00B64BE3" w:rsidRDefault="007D03FA" w:rsidP="007D03FA">
            <w:pPr>
              <w:pStyle w:val="Table-Head-Left"/>
              <w:spacing w:before="120" w:after="120"/>
              <w:rPr>
                <w:rFonts w:ascii="Arial" w:hAnsi="Arial" w:cs="Arial"/>
              </w:rPr>
            </w:pPr>
            <w:r w:rsidRPr="00B64BE3">
              <w:rPr>
                <w:rFonts w:ascii="Arial" w:hAnsi="Arial" w:cs="Arial"/>
              </w:rPr>
              <w:t>Supplemental analytical procedures</w:t>
            </w:r>
          </w:p>
        </w:tc>
        <w:tc>
          <w:tcPr>
            <w:tcW w:w="5760" w:type="dxa"/>
          </w:tcPr>
          <w:p w14:paraId="1D673F49" w14:textId="77777777" w:rsidR="007D03FA" w:rsidRPr="00B64BE3" w:rsidRDefault="007D03FA" w:rsidP="007D03FA">
            <w:pPr>
              <w:pStyle w:val="Table-Cell-Left"/>
              <w:spacing w:before="120" w:after="120"/>
              <w:rPr>
                <w:rFonts w:ascii="Arial" w:hAnsi="Arial" w:cs="Arial"/>
              </w:rPr>
            </w:pPr>
            <w:r w:rsidRPr="00B64BE3">
              <w:rPr>
                <w:rFonts w:ascii="Arial" w:hAnsi="Arial" w:cs="Arial"/>
              </w:rPr>
              <w:t>Analytical procedures to increase the auditor’s understanding of account balances and transactions when detail tests are used as the sole sou</w:t>
            </w:r>
            <w:r>
              <w:rPr>
                <w:rFonts w:ascii="Arial" w:hAnsi="Arial" w:cs="Arial"/>
              </w:rPr>
              <w:t>rce of sub</w:t>
            </w:r>
            <w:r>
              <w:rPr>
                <w:rFonts w:ascii="Arial" w:hAnsi="Arial" w:cs="Arial"/>
              </w:rPr>
              <w:softHyphen/>
              <w:t>stan</w:t>
            </w:r>
            <w:r>
              <w:rPr>
                <w:rFonts w:ascii="Arial" w:hAnsi="Arial" w:cs="Arial"/>
              </w:rPr>
              <w:softHyphen/>
              <w:t>tive assurance.</w:t>
            </w:r>
          </w:p>
        </w:tc>
      </w:tr>
      <w:tr w:rsidR="007D03FA" w:rsidRPr="00166622" w14:paraId="2A626ADC" w14:textId="77777777" w:rsidTr="00453A1F">
        <w:trPr>
          <w:trHeight w:val="288"/>
        </w:trPr>
        <w:tc>
          <w:tcPr>
            <w:tcW w:w="3600" w:type="dxa"/>
          </w:tcPr>
          <w:p w14:paraId="46AE2960" w14:textId="77777777" w:rsidR="007D03FA" w:rsidRPr="00B64BE3" w:rsidRDefault="007D03FA" w:rsidP="007D03FA">
            <w:pPr>
              <w:pStyle w:val="Table-Head-Left"/>
              <w:spacing w:before="120" w:after="120"/>
              <w:rPr>
                <w:rFonts w:ascii="Arial" w:hAnsi="Arial" w:cs="Arial"/>
              </w:rPr>
            </w:pPr>
            <w:r w:rsidRPr="00B64BE3">
              <w:rPr>
                <w:rFonts w:ascii="Arial" w:hAnsi="Arial" w:cs="Arial"/>
              </w:rPr>
              <w:t>Systematic random sampling</w:t>
            </w:r>
          </w:p>
        </w:tc>
        <w:tc>
          <w:tcPr>
            <w:tcW w:w="5760" w:type="dxa"/>
          </w:tcPr>
          <w:p w14:paraId="22762B28" w14:textId="77777777" w:rsidR="007D03FA" w:rsidRPr="00B64BE3" w:rsidRDefault="007D03FA" w:rsidP="007D03FA">
            <w:pPr>
              <w:pStyle w:val="Table-Cell-Left"/>
              <w:spacing w:before="120" w:after="120"/>
              <w:rPr>
                <w:rFonts w:ascii="Arial" w:hAnsi="Arial" w:cs="Arial"/>
              </w:rPr>
            </w:pPr>
            <w:r w:rsidRPr="00B64BE3">
              <w:rPr>
                <w:rFonts w:ascii="Arial" w:hAnsi="Arial" w:cs="Arial"/>
              </w:rPr>
              <w:t xml:space="preserve">A method of selecting a sample in which every </w:t>
            </w:r>
            <w:r w:rsidRPr="00B64BE3">
              <w:rPr>
                <w:rFonts w:ascii="Arial" w:hAnsi="Arial" w:cs="Arial"/>
                <w:i/>
                <w:iCs/>
              </w:rPr>
              <w:t>n</w:t>
            </w:r>
            <w:r w:rsidRPr="00B64BE3">
              <w:rPr>
                <w:rFonts w:ascii="Arial" w:hAnsi="Arial" w:cs="Arial"/>
              </w:rPr>
              <w:t>th item is selected using one or more random starts. When the first item is selected using judgment from the interval, the method is termed systematic sampling.</w:t>
            </w:r>
          </w:p>
        </w:tc>
      </w:tr>
      <w:tr w:rsidR="007D03FA" w:rsidRPr="00166622" w14:paraId="47E07698" w14:textId="77777777" w:rsidTr="00453A1F">
        <w:trPr>
          <w:trHeight w:val="288"/>
        </w:trPr>
        <w:tc>
          <w:tcPr>
            <w:tcW w:w="3600" w:type="dxa"/>
          </w:tcPr>
          <w:p w14:paraId="1CAA3EC9" w14:textId="77777777" w:rsidR="007D03FA" w:rsidRDefault="007D03FA" w:rsidP="007D03FA">
            <w:pPr>
              <w:pStyle w:val="Table-Head-Left"/>
              <w:spacing w:before="120" w:after="120"/>
              <w:rPr>
                <w:rFonts w:ascii="Arial" w:hAnsi="Arial" w:cs="Arial"/>
              </w:rPr>
            </w:pPr>
            <w:r>
              <w:rPr>
                <w:rFonts w:ascii="Arial" w:hAnsi="Arial" w:cs="Arial"/>
              </w:rPr>
              <w:lastRenderedPageBreak/>
              <w:t>Technical accounting and auditing expert</w:t>
            </w:r>
          </w:p>
        </w:tc>
        <w:tc>
          <w:tcPr>
            <w:tcW w:w="5760" w:type="dxa"/>
          </w:tcPr>
          <w:p w14:paraId="4A3755B9" w14:textId="77777777" w:rsidR="007D03FA" w:rsidRPr="009C76F5" w:rsidRDefault="007D03FA" w:rsidP="007D03FA">
            <w:pPr>
              <w:pStyle w:val="Table-Cell-Left"/>
              <w:spacing w:before="120" w:after="120"/>
              <w:rPr>
                <w:rFonts w:ascii="Arial" w:hAnsi="Arial" w:cs="Arial"/>
              </w:rPr>
            </w:pPr>
            <w:r>
              <w:rPr>
                <w:rFonts w:ascii="Arial" w:hAnsi="Arial" w:cs="Arial"/>
              </w:rPr>
              <w:t xml:space="preserve">The person who </w:t>
            </w:r>
            <w:r w:rsidRPr="00624C55">
              <w:rPr>
                <w:rFonts w:ascii="Arial" w:hAnsi="Arial" w:cs="Arial"/>
              </w:rPr>
              <w:t>reports to the assistant IG for audit or higher. At GAO, this is the chief accountant or other designated expert. This expert advises on accounting and auditing professional matters and government-related issues. This person also may be the reviewer or may review reports on financial statements and reports that express opinions on financial information for compliance with professional auditing standards.</w:t>
            </w:r>
          </w:p>
        </w:tc>
      </w:tr>
      <w:tr w:rsidR="007D03FA" w:rsidRPr="00166622" w14:paraId="3E3F86BB" w14:textId="77777777" w:rsidTr="00453A1F">
        <w:trPr>
          <w:trHeight w:val="288"/>
        </w:trPr>
        <w:tc>
          <w:tcPr>
            <w:tcW w:w="3600" w:type="dxa"/>
          </w:tcPr>
          <w:p w14:paraId="09327DA3" w14:textId="77777777" w:rsidR="007D03FA" w:rsidRPr="00B64BE3" w:rsidRDefault="007D03FA" w:rsidP="007D03FA">
            <w:pPr>
              <w:pStyle w:val="Table-Head-Left"/>
              <w:spacing w:before="120" w:after="120"/>
              <w:rPr>
                <w:rFonts w:ascii="Arial" w:hAnsi="Arial" w:cs="Arial"/>
              </w:rPr>
            </w:pPr>
            <w:r>
              <w:rPr>
                <w:rFonts w:ascii="Arial" w:hAnsi="Arial" w:cs="Arial"/>
              </w:rPr>
              <w:t>Testing phase</w:t>
            </w:r>
          </w:p>
        </w:tc>
        <w:tc>
          <w:tcPr>
            <w:tcW w:w="5760" w:type="dxa"/>
          </w:tcPr>
          <w:p w14:paraId="710A9693" w14:textId="77777777" w:rsidR="007D03FA" w:rsidRPr="00B64BE3" w:rsidRDefault="007D03FA" w:rsidP="007D03FA">
            <w:pPr>
              <w:pStyle w:val="Table-Cell-Left"/>
              <w:spacing w:before="120" w:after="120"/>
              <w:rPr>
                <w:rFonts w:ascii="Arial" w:hAnsi="Arial" w:cs="Arial"/>
              </w:rPr>
            </w:pPr>
            <w:r w:rsidRPr="009C76F5">
              <w:rPr>
                <w:rFonts w:ascii="Arial" w:hAnsi="Arial" w:cs="Arial"/>
              </w:rPr>
              <w:t xml:space="preserve">The objectives of this </w:t>
            </w:r>
            <w:r>
              <w:rPr>
                <w:rFonts w:ascii="Arial" w:hAnsi="Arial" w:cs="Arial"/>
              </w:rPr>
              <w:t xml:space="preserve">audit </w:t>
            </w:r>
            <w:r w:rsidRPr="009C76F5">
              <w:rPr>
                <w:rFonts w:ascii="Arial" w:hAnsi="Arial" w:cs="Arial"/>
              </w:rPr>
              <w:t>phase are to (1) obtain reasonable assurance about whether the financial statements are presented fairly, in all material respects, in accordance with U.S. GAAP; (2) determine whether the entity complied with significant provisions of applicable laws, regulations, contracts, and grant agreements; and (3) assess the effectiveness of internal control over financial reporting through testing controls often in coordination with other tests.</w:t>
            </w:r>
          </w:p>
        </w:tc>
      </w:tr>
      <w:tr w:rsidR="007D03FA" w:rsidRPr="00166622" w14:paraId="1E927674" w14:textId="77777777" w:rsidTr="00453A1F">
        <w:trPr>
          <w:trHeight w:val="288"/>
        </w:trPr>
        <w:tc>
          <w:tcPr>
            <w:tcW w:w="3600" w:type="dxa"/>
          </w:tcPr>
          <w:p w14:paraId="26207B31" w14:textId="77777777" w:rsidR="007D03FA" w:rsidRPr="00B64BE3" w:rsidRDefault="007D03FA" w:rsidP="007D03FA">
            <w:pPr>
              <w:pStyle w:val="Table-Head-Left"/>
              <w:spacing w:before="120" w:after="120"/>
              <w:rPr>
                <w:rFonts w:ascii="Arial" w:hAnsi="Arial" w:cs="Arial"/>
              </w:rPr>
            </w:pPr>
            <w:r w:rsidRPr="00B64BE3">
              <w:rPr>
                <w:rFonts w:ascii="Arial" w:hAnsi="Arial" w:cs="Arial"/>
              </w:rPr>
              <w:t>Those charged with governance</w:t>
            </w:r>
            <w:r>
              <w:rPr>
                <w:rFonts w:ascii="Arial" w:hAnsi="Arial" w:cs="Arial"/>
              </w:rPr>
              <w:t xml:space="preserve"> (Oversight body)</w:t>
            </w:r>
          </w:p>
        </w:tc>
        <w:tc>
          <w:tcPr>
            <w:tcW w:w="5760" w:type="dxa"/>
          </w:tcPr>
          <w:p w14:paraId="4722D6AD" w14:textId="77777777" w:rsidR="007D03FA" w:rsidRPr="00B64BE3" w:rsidRDefault="007D03FA" w:rsidP="007D03FA">
            <w:pPr>
              <w:pStyle w:val="Table-Cell-Left"/>
              <w:spacing w:before="120" w:after="120"/>
              <w:rPr>
                <w:rFonts w:ascii="Arial" w:hAnsi="Arial" w:cs="Arial"/>
              </w:rPr>
            </w:pPr>
            <w:r>
              <w:rPr>
                <w:rFonts w:ascii="Arial" w:hAnsi="Arial" w:cs="Arial"/>
              </w:rPr>
              <w:t>T</w:t>
            </w:r>
            <w:r w:rsidRPr="00924D9D">
              <w:rPr>
                <w:rFonts w:ascii="Arial" w:hAnsi="Arial" w:cs="Arial"/>
              </w:rPr>
              <w:t>hose who have the responsibility for overseeing the strategic direction of the entity and obligations related to the accountability of the entity, including overseeing the entity’s financial reporting process. For a federal entity, those charged with governance may be members of a board or commission, an audit committee, the secretary of a cabinet-level department, or senior executives and financial managers responsible for the entity.</w:t>
            </w:r>
          </w:p>
        </w:tc>
      </w:tr>
      <w:tr w:rsidR="007D03FA" w:rsidRPr="00166622" w14:paraId="111FCC97" w14:textId="77777777" w:rsidTr="00453A1F">
        <w:trPr>
          <w:trHeight w:val="288"/>
        </w:trPr>
        <w:tc>
          <w:tcPr>
            <w:tcW w:w="3600" w:type="dxa"/>
          </w:tcPr>
          <w:p w14:paraId="73D6FE2E" w14:textId="77777777" w:rsidR="007D03FA" w:rsidRPr="00B64BE3" w:rsidRDefault="007D03FA" w:rsidP="007D03FA">
            <w:pPr>
              <w:pStyle w:val="Table-Head-Left"/>
              <w:spacing w:before="120" w:after="120"/>
              <w:rPr>
                <w:rFonts w:ascii="Arial" w:hAnsi="Arial" w:cs="Arial"/>
              </w:rPr>
            </w:pPr>
            <w:r w:rsidRPr="00B64BE3">
              <w:rPr>
                <w:rFonts w:ascii="Arial" w:hAnsi="Arial" w:cs="Arial"/>
              </w:rPr>
              <w:t>Tolerable misstatement</w:t>
            </w:r>
          </w:p>
        </w:tc>
        <w:tc>
          <w:tcPr>
            <w:tcW w:w="5760" w:type="dxa"/>
          </w:tcPr>
          <w:p w14:paraId="19E213D7" w14:textId="77777777" w:rsidR="007D03FA" w:rsidRPr="00B64BE3" w:rsidRDefault="007D03FA" w:rsidP="007D03FA">
            <w:pPr>
              <w:pStyle w:val="Table-Cell-Left"/>
              <w:spacing w:before="120" w:after="120"/>
              <w:rPr>
                <w:rFonts w:ascii="Arial" w:hAnsi="Arial" w:cs="Arial"/>
              </w:rPr>
            </w:pPr>
            <w:r w:rsidRPr="00B64BE3">
              <w:rPr>
                <w:rFonts w:ascii="Arial" w:hAnsi="Arial" w:cs="Arial"/>
              </w:rPr>
              <w:t>The application of performance materiality to a particular substantive sampling procedure. Tolerable misstatement is defined in AU-C 530.05 as a monetary amount set by the auditor in respect of which the auditor seeks to obtain an appropriate level of assurance that the monetary amount set by the auditor is not exceeded by the actual misstatement in the population.</w:t>
            </w:r>
          </w:p>
        </w:tc>
      </w:tr>
      <w:tr w:rsidR="007D03FA" w:rsidRPr="00166622" w14:paraId="0D46B04B" w14:textId="77777777" w:rsidTr="00453A1F">
        <w:trPr>
          <w:trHeight w:val="288"/>
        </w:trPr>
        <w:tc>
          <w:tcPr>
            <w:tcW w:w="3600" w:type="dxa"/>
          </w:tcPr>
          <w:p w14:paraId="0BF87A26" w14:textId="77777777" w:rsidR="007D03FA" w:rsidRPr="00EB5BE3" w:rsidRDefault="007D03FA" w:rsidP="007D03FA">
            <w:pPr>
              <w:pStyle w:val="Table-Head-Left"/>
              <w:spacing w:before="120" w:after="120"/>
              <w:rPr>
                <w:rFonts w:ascii="Arial" w:hAnsi="Arial" w:cs="Arial"/>
              </w:rPr>
            </w:pPr>
            <w:r w:rsidRPr="00EB5BE3">
              <w:rPr>
                <w:rFonts w:ascii="Arial" w:hAnsi="Arial" w:cs="Arial"/>
              </w:rPr>
              <w:t>Tolerable rate</w:t>
            </w:r>
            <w:r>
              <w:rPr>
                <w:rFonts w:ascii="Arial" w:hAnsi="Arial" w:cs="Arial"/>
              </w:rPr>
              <w:t xml:space="preserve"> of deviation </w:t>
            </w:r>
          </w:p>
        </w:tc>
        <w:tc>
          <w:tcPr>
            <w:tcW w:w="5760" w:type="dxa"/>
          </w:tcPr>
          <w:p w14:paraId="5672CD9C" w14:textId="77777777" w:rsidR="007D03FA" w:rsidRPr="00EB5BE3" w:rsidRDefault="007D03FA" w:rsidP="007D03FA">
            <w:pPr>
              <w:pStyle w:val="Table-Cell-Left"/>
              <w:spacing w:before="120" w:after="120"/>
              <w:rPr>
                <w:rFonts w:ascii="Arial" w:hAnsi="Arial" w:cs="Arial"/>
              </w:rPr>
            </w:pPr>
            <w:r w:rsidRPr="00EB5BE3">
              <w:rPr>
                <w:rFonts w:ascii="Arial" w:hAnsi="Arial" w:cs="Arial"/>
              </w:rPr>
              <w:t>A rate of deviation set by the auditor in respect of which the auditor seeks to obtain an appropriate level of assurance that the rate of deviation set by the auditor is not exceeded by the actual misstatement in the population.</w:t>
            </w:r>
            <w:r>
              <w:rPr>
                <w:rFonts w:ascii="Arial" w:hAnsi="Arial" w:cs="Arial"/>
              </w:rPr>
              <w:t xml:space="preserve"> This is also referred to as tolerable error, tolerable rate, or tolerable deviation.</w:t>
            </w:r>
          </w:p>
        </w:tc>
      </w:tr>
      <w:tr w:rsidR="007D03FA" w:rsidRPr="00166622" w14:paraId="5FF49C97" w14:textId="77777777" w:rsidTr="00453A1F">
        <w:trPr>
          <w:trHeight w:val="288"/>
        </w:trPr>
        <w:tc>
          <w:tcPr>
            <w:tcW w:w="3600" w:type="dxa"/>
            <w:shd w:val="clear" w:color="auto" w:fill="auto"/>
          </w:tcPr>
          <w:p w14:paraId="6BE5DFD2" w14:textId="77777777" w:rsidR="007D03FA" w:rsidRPr="00EB5BE3" w:rsidRDefault="007D03FA" w:rsidP="007D03FA">
            <w:pPr>
              <w:pStyle w:val="Table-Head-Left"/>
              <w:spacing w:before="120" w:after="120"/>
              <w:rPr>
                <w:rFonts w:ascii="Arial" w:hAnsi="Arial" w:cs="Arial"/>
              </w:rPr>
            </w:pPr>
            <w:r w:rsidRPr="00EB5BE3">
              <w:rPr>
                <w:rFonts w:ascii="Arial" w:hAnsi="Arial" w:cs="Arial"/>
              </w:rPr>
              <w:lastRenderedPageBreak/>
              <w:t>Trading partner code</w:t>
            </w:r>
          </w:p>
        </w:tc>
        <w:tc>
          <w:tcPr>
            <w:tcW w:w="5760" w:type="dxa"/>
            <w:shd w:val="clear" w:color="auto" w:fill="auto"/>
          </w:tcPr>
          <w:p w14:paraId="6CC86C6E" w14:textId="77777777" w:rsidR="007D03FA" w:rsidRPr="00EB5BE3" w:rsidRDefault="007D03FA" w:rsidP="007D03FA">
            <w:pPr>
              <w:pStyle w:val="Table-Cell-Left"/>
              <w:spacing w:before="120" w:after="120"/>
              <w:rPr>
                <w:rFonts w:ascii="Arial" w:hAnsi="Arial" w:cs="Arial"/>
              </w:rPr>
            </w:pPr>
            <w:r w:rsidRPr="00EB5BE3">
              <w:rPr>
                <w:rFonts w:ascii="Arial" w:hAnsi="Arial" w:cs="Arial"/>
              </w:rPr>
              <w:t xml:space="preserve">Assigned by the U.S. Department of the Treasury, trading partner codes are used to facilitate the preparation of the </w:t>
            </w:r>
            <w:r w:rsidRPr="00EB5BE3">
              <w:rPr>
                <w:rFonts w:ascii="Arial" w:hAnsi="Arial" w:cs="Arial"/>
                <w:i/>
              </w:rPr>
              <w:t>Financial Report of the United States Government</w:t>
            </w:r>
            <w:r>
              <w:rPr>
                <w:rFonts w:ascii="Arial" w:hAnsi="Arial" w:cs="Arial"/>
              </w:rPr>
              <w:t>.</w:t>
            </w:r>
          </w:p>
        </w:tc>
      </w:tr>
      <w:tr w:rsidR="007D03FA" w:rsidRPr="00166622" w14:paraId="5906C3B1" w14:textId="77777777" w:rsidTr="00453A1F">
        <w:trPr>
          <w:trHeight w:val="288"/>
        </w:trPr>
        <w:tc>
          <w:tcPr>
            <w:tcW w:w="3600" w:type="dxa"/>
          </w:tcPr>
          <w:p w14:paraId="46282499" w14:textId="77777777" w:rsidR="007D03FA" w:rsidRPr="00EB5BE3" w:rsidRDefault="007D03FA" w:rsidP="007D03FA">
            <w:pPr>
              <w:pStyle w:val="Table-Head-Left"/>
              <w:spacing w:before="120" w:after="120"/>
              <w:rPr>
                <w:rFonts w:ascii="Arial" w:hAnsi="Arial" w:cs="Arial"/>
              </w:rPr>
            </w:pPr>
            <w:r w:rsidRPr="00EB5BE3">
              <w:rPr>
                <w:rFonts w:ascii="Arial" w:hAnsi="Arial" w:cs="Arial"/>
              </w:rPr>
              <w:t>Trading partners</w:t>
            </w:r>
          </w:p>
        </w:tc>
        <w:tc>
          <w:tcPr>
            <w:tcW w:w="5760" w:type="dxa"/>
          </w:tcPr>
          <w:p w14:paraId="0D10CFF6" w14:textId="77777777" w:rsidR="007D03FA" w:rsidRPr="00EB5BE3" w:rsidRDefault="007D03FA" w:rsidP="007D03FA">
            <w:pPr>
              <w:pStyle w:val="Table-Cell-Left"/>
              <w:spacing w:before="120" w:after="120"/>
              <w:rPr>
                <w:rFonts w:ascii="Arial" w:hAnsi="Arial" w:cs="Arial"/>
              </w:rPr>
            </w:pPr>
            <w:r w:rsidRPr="00EB5BE3">
              <w:rPr>
                <w:rFonts w:ascii="Arial" w:hAnsi="Arial" w:cs="Arial"/>
              </w:rPr>
              <w:t xml:space="preserve">Federal entities that request or provide transactions and transfers between federal entities. </w:t>
            </w:r>
          </w:p>
        </w:tc>
      </w:tr>
      <w:tr w:rsidR="007D03FA" w:rsidRPr="00430DD2" w14:paraId="60BF2E7D" w14:textId="77777777" w:rsidTr="00453A1F">
        <w:trPr>
          <w:trHeight w:val="288"/>
        </w:trPr>
        <w:tc>
          <w:tcPr>
            <w:tcW w:w="3600" w:type="dxa"/>
          </w:tcPr>
          <w:p w14:paraId="738E4765" w14:textId="77777777" w:rsidR="007D03FA" w:rsidRPr="00430DD2" w:rsidRDefault="007D03FA" w:rsidP="007D03FA">
            <w:pPr>
              <w:pStyle w:val="Table-Head-Left"/>
              <w:spacing w:before="120" w:after="120"/>
              <w:rPr>
                <w:rFonts w:ascii="Arial" w:hAnsi="Arial" w:cs="Arial"/>
              </w:rPr>
            </w:pPr>
            <w:r w:rsidRPr="00430DD2">
              <w:rPr>
                <w:rFonts w:ascii="Arial" w:hAnsi="Arial" w:cs="Arial"/>
              </w:rPr>
              <w:t>Transfers</w:t>
            </w:r>
          </w:p>
        </w:tc>
        <w:tc>
          <w:tcPr>
            <w:tcW w:w="5760" w:type="dxa"/>
          </w:tcPr>
          <w:p w14:paraId="3455F5B0" w14:textId="77777777" w:rsidR="007D03FA" w:rsidRPr="00430DD2" w:rsidRDefault="007D03FA" w:rsidP="007D03FA">
            <w:pPr>
              <w:pStyle w:val="Table-Cell-Left"/>
              <w:spacing w:before="120" w:after="120"/>
              <w:rPr>
                <w:rFonts w:ascii="Arial" w:hAnsi="Arial" w:cs="Arial"/>
              </w:rPr>
            </w:pPr>
            <w:r w:rsidRPr="00430DD2">
              <w:rPr>
                <w:rFonts w:ascii="Arial" w:hAnsi="Arial" w:cs="Arial"/>
              </w:rPr>
              <w:t>Shifting of all or part of the budget authority in one appropriation or fund account to another. Entities may transfer budget authority only as specifically authorized by law. For accounting purposes, the nature of the transfer determines whether the transaction is treated as an expenditure</w:t>
            </w:r>
            <w:r>
              <w:rPr>
                <w:rFonts w:ascii="Arial" w:hAnsi="Arial" w:cs="Arial"/>
              </w:rPr>
              <w:t xml:space="preserve"> or a nonexpenditure transfer. </w:t>
            </w:r>
          </w:p>
        </w:tc>
      </w:tr>
      <w:tr w:rsidR="007D03FA" w:rsidRPr="00166622" w14:paraId="48F6783C" w14:textId="77777777" w:rsidTr="00453A1F">
        <w:trPr>
          <w:trHeight w:val="288"/>
        </w:trPr>
        <w:tc>
          <w:tcPr>
            <w:tcW w:w="3600" w:type="dxa"/>
          </w:tcPr>
          <w:p w14:paraId="21674B2D" w14:textId="77777777" w:rsidR="007D03FA" w:rsidRPr="00430DD2" w:rsidRDefault="007D03FA" w:rsidP="007D03FA">
            <w:pPr>
              <w:pStyle w:val="Table-Head-Left"/>
              <w:spacing w:before="120" w:after="120"/>
              <w:rPr>
                <w:rFonts w:ascii="Arial" w:hAnsi="Arial" w:cs="Arial"/>
              </w:rPr>
            </w:pPr>
            <w:r w:rsidRPr="00430DD2">
              <w:rPr>
                <w:rFonts w:ascii="Arial" w:hAnsi="Arial" w:cs="Arial"/>
                <w:i/>
              </w:rPr>
              <w:t>Treasury Financial Manual</w:t>
            </w:r>
            <w:r w:rsidRPr="00430DD2">
              <w:rPr>
                <w:rFonts w:ascii="Arial" w:hAnsi="Arial" w:cs="Arial"/>
              </w:rPr>
              <w:t xml:space="preserve"> (TFM)</w:t>
            </w:r>
          </w:p>
        </w:tc>
        <w:tc>
          <w:tcPr>
            <w:tcW w:w="5760" w:type="dxa"/>
          </w:tcPr>
          <w:p w14:paraId="12BBC80E" w14:textId="77777777" w:rsidR="007D03FA" w:rsidRPr="00430DD2" w:rsidRDefault="007D03FA" w:rsidP="007D03FA">
            <w:pPr>
              <w:pStyle w:val="Table-Cell-Left"/>
              <w:spacing w:before="120" w:after="120"/>
              <w:rPr>
                <w:rFonts w:ascii="Arial" w:hAnsi="Arial" w:cs="Arial"/>
              </w:rPr>
            </w:pPr>
            <w:r w:rsidRPr="00430DD2">
              <w:rPr>
                <w:rFonts w:ascii="Arial" w:hAnsi="Arial" w:cs="Arial"/>
              </w:rPr>
              <w:t xml:space="preserve">The </w:t>
            </w:r>
            <w:r w:rsidRPr="00430DD2">
              <w:rPr>
                <w:rFonts w:ascii="Arial" w:hAnsi="Arial" w:cs="Arial"/>
                <w:i/>
                <w:iCs/>
              </w:rPr>
              <w:t>Treasury Financial Manual</w:t>
            </w:r>
            <w:r w:rsidRPr="00430DD2">
              <w:rPr>
                <w:rFonts w:ascii="Arial" w:hAnsi="Arial" w:cs="Arial"/>
              </w:rPr>
              <w:t xml:space="preserve"> (TFM) is Treasury’s official publication of policies, procedures, and instructions concerning financial management in the Federal Government. It is intended to promote the Government’s financial integrity and operational efficiency.</w:t>
            </w:r>
          </w:p>
        </w:tc>
      </w:tr>
      <w:tr w:rsidR="007D03FA" w:rsidRPr="00166622" w14:paraId="42595C59" w14:textId="77777777" w:rsidTr="00453A1F">
        <w:trPr>
          <w:trHeight w:val="288"/>
        </w:trPr>
        <w:tc>
          <w:tcPr>
            <w:tcW w:w="3600" w:type="dxa"/>
            <w:shd w:val="clear" w:color="auto" w:fill="auto"/>
          </w:tcPr>
          <w:p w14:paraId="326F63A6" w14:textId="77777777" w:rsidR="007D03FA" w:rsidRPr="00430DD2" w:rsidRDefault="007D03FA" w:rsidP="007D03FA">
            <w:pPr>
              <w:pStyle w:val="Table-Head-Left"/>
              <w:spacing w:before="120" w:after="120"/>
              <w:rPr>
                <w:rFonts w:ascii="Arial" w:hAnsi="Arial" w:cs="Arial"/>
              </w:rPr>
            </w:pPr>
            <w:r w:rsidRPr="00430DD2">
              <w:rPr>
                <w:rFonts w:ascii="Arial" w:hAnsi="Arial" w:cs="Arial"/>
              </w:rPr>
              <w:t>Type 1 Report</w:t>
            </w:r>
          </w:p>
        </w:tc>
        <w:tc>
          <w:tcPr>
            <w:tcW w:w="5760" w:type="dxa"/>
            <w:shd w:val="clear" w:color="auto" w:fill="auto"/>
          </w:tcPr>
          <w:p w14:paraId="764EA693" w14:textId="77777777" w:rsidR="007D03FA" w:rsidRPr="00430DD2" w:rsidRDefault="007D03FA" w:rsidP="007D03FA">
            <w:pPr>
              <w:pStyle w:val="Table-Cell-Left"/>
              <w:spacing w:before="120" w:after="120"/>
              <w:rPr>
                <w:rFonts w:ascii="Arial" w:hAnsi="Arial" w:cs="Arial"/>
              </w:rPr>
            </w:pPr>
            <w:r w:rsidRPr="00430DD2">
              <w:rPr>
                <w:rFonts w:ascii="Arial" w:hAnsi="Arial" w:cs="Arial"/>
              </w:rPr>
              <w:t>Report on the fairness of the presentation of management’s description of the service organization’s system and the suitability of the design of the controls to achieve the related control objectives included in the description as of a specified date.</w:t>
            </w:r>
          </w:p>
        </w:tc>
      </w:tr>
      <w:tr w:rsidR="007D03FA" w:rsidRPr="00166622" w14:paraId="56A89BC4" w14:textId="77777777" w:rsidTr="00453A1F">
        <w:trPr>
          <w:trHeight w:val="288"/>
        </w:trPr>
        <w:tc>
          <w:tcPr>
            <w:tcW w:w="3600" w:type="dxa"/>
            <w:shd w:val="clear" w:color="auto" w:fill="auto"/>
          </w:tcPr>
          <w:p w14:paraId="7938A16A" w14:textId="77777777" w:rsidR="007D03FA" w:rsidRPr="00430DD2" w:rsidRDefault="007D03FA" w:rsidP="007D03FA">
            <w:pPr>
              <w:pStyle w:val="Table-Head-Left"/>
              <w:spacing w:before="120" w:after="120"/>
              <w:rPr>
                <w:rFonts w:ascii="Arial" w:hAnsi="Arial" w:cs="Arial"/>
              </w:rPr>
            </w:pPr>
            <w:r w:rsidRPr="00430DD2">
              <w:rPr>
                <w:rFonts w:ascii="Arial" w:hAnsi="Arial" w:cs="Arial"/>
              </w:rPr>
              <w:t>Type 2 Report</w:t>
            </w:r>
          </w:p>
        </w:tc>
        <w:tc>
          <w:tcPr>
            <w:tcW w:w="5760" w:type="dxa"/>
            <w:shd w:val="clear" w:color="auto" w:fill="auto"/>
          </w:tcPr>
          <w:p w14:paraId="0C954C9B" w14:textId="77777777" w:rsidR="007D03FA" w:rsidRPr="00430DD2" w:rsidRDefault="007D03FA" w:rsidP="007D03FA">
            <w:pPr>
              <w:pStyle w:val="Table-Cell-Left"/>
              <w:spacing w:before="120" w:after="120"/>
              <w:rPr>
                <w:rFonts w:ascii="Arial" w:hAnsi="Arial" w:cs="Arial"/>
              </w:rPr>
            </w:pPr>
            <w:r w:rsidRPr="00430DD2">
              <w:rPr>
                <w:rFonts w:ascii="Arial" w:hAnsi="Arial" w:cs="Arial"/>
              </w:rPr>
              <w:t xml:space="preserve">Report on the fairness of the presentation of management’s description of the service organization’s system and the suitability of the design and operating effectiveness of the controls to achieve the related control objectives included in the description throughout a specified period. </w:t>
            </w:r>
          </w:p>
        </w:tc>
      </w:tr>
      <w:tr w:rsidR="007D03FA" w:rsidRPr="00166622" w14:paraId="47532531" w14:textId="77777777" w:rsidTr="00453A1F">
        <w:trPr>
          <w:trHeight w:val="288"/>
        </w:trPr>
        <w:tc>
          <w:tcPr>
            <w:tcW w:w="3600" w:type="dxa"/>
          </w:tcPr>
          <w:p w14:paraId="1D6C96A8" w14:textId="77777777" w:rsidR="007D03FA" w:rsidRPr="00430DD2" w:rsidRDefault="007D03FA" w:rsidP="007D03FA">
            <w:pPr>
              <w:pStyle w:val="Table-Head-Left"/>
              <w:spacing w:before="120" w:after="120"/>
              <w:rPr>
                <w:rFonts w:ascii="Arial" w:hAnsi="Arial" w:cs="Arial"/>
              </w:rPr>
            </w:pPr>
            <w:r w:rsidRPr="00430DD2">
              <w:rPr>
                <w:rFonts w:ascii="Arial" w:hAnsi="Arial" w:cs="Arial"/>
              </w:rPr>
              <w:t>U.S. generally accepted accounting principles</w:t>
            </w:r>
            <w:r>
              <w:rPr>
                <w:rFonts w:ascii="Arial" w:hAnsi="Arial" w:cs="Arial"/>
              </w:rPr>
              <w:t xml:space="preserve"> </w:t>
            </w:r>
            <w:r w:rsidRPr="00430DD2">
              <w:rPr>
                <w:rFonts w:ascii="Arial" w:hAnsi="Arial" w:cs="Arial"/>
              </w:rPr>
              <w:t>(U.S. GAAP)</w:t>
            </w:r>
          </w:p>
        </w:tc>
        <w:tc>
          <w:tcPr>
            <w:tcW w:w="5760" w:type="dxa"/>
          </w:tcPr>
          <w:p w14:paraId="69DC6672" w14:textId="77777777" w:rsidR="007D03FA" w:rsidRPr="00430DD2" w:rsidRDefault="007D03FA" w:rsidP="007D03FA">
            <w:pPr>
              <w:pStyle w:val="Table-Cell-Left"/>
              <w:spacing w:before="120" w:after="120"/>
              <w:rPr>
                <w:rFonts w:ascii="Arial" w:hAnsi="Arial" w:cs="Arial"/>
              </w:rPr>
            </w:pPr>
            <w:r w:rsidRPr="00430DD2">
              <w:rPr>
                <w:rFonts w:ascii="Arial" w:hAnsi="Arial" w:cs="Arial"/>
              </w:rPr>
              <w:t>The U.S. accounting principles that are promulgated by a standard setter approved by the AICPA. SFFAS 34 contains the hierarchy of accounting standards for financial statements of federal government entities, The standards issued by FASAB are the first level of the hierarchy. For government corporations and certain other entities, the standards issued by FASB are the first level of the hierarchy.</w:t>
            </w:r>
          </w:p>
        </w:tc>
      </w:tr>
      <w:tr w:rsidR="007D03FA" w:rsidRPr="00166622" w14:paraId="371CF1F2" w14:textId="77777777" w:rsidTr="00453A1F">
        <w:trPr>
          <w:trHeight w:val="288"/>
        </w:trPr>
        <w:tc>
          <w:tcPr>
            <w:tcW w:w="3600" w:type="dxa"/>
          </w:tcPr>
          <w:p w14:paraId="5BC6935A" w14:textId="77777777" w:rsidR="007D03FA" w:rsidRPr="00430DD2" w:rsidRDefault="007D03FA" w:rsidP="007D03FA">
            <w:pPr>
              <w:pStyle w:val="Table-Head-Left"/>
              <w:spacing w:before="120" w:after="120"/>
              <w:rPr>
                <w:rFonts w:ascii="Arial" w:hAnsi="Arial" w:cs="Arial"/>
              </w:rPr>
            </w:pPr>
            <w:r w:rsidRPr="00430DD2">
              <w:rPr>
                <w:rFonts w:ascii="Arial" w:hAnsi="Arial" w:cs="Arial"/>
              </w:rPr>
              <w:lastRenderedPageBreak/>
              <w:t>Uncorrected misstatements</w:t>
            </w:r>
          </w:p>
        </w:tc>
        <w:tc>
          <w:tcPr>
            <w:tcW w:w="5760" w:type="dxa"/>
          </w:tcPr>
          <w:p w14:paraId="6C0FD9A1" w14:textId="77777777" w:rsidR="007D03FA" w:rsidRPr="00430DD2" w:rsidRDefault="007D03FA" w:rsidP="007D03FA">
            <w:pPr>
              <w:pStyle w:val="Table-Cell-Left"/>
              <w:spacing w:before="120" w:after="120"/>
              <w:rPr>
                <w:rFonts w:ascii="Arial" w:hAnsi="Arial" w:cs="Arial"/>
              </w:rPr>
            </w:pPr>
            <w:r w:rsidRPr="00430DD2">
              <w:rPr>
                <w:rFonts w:ascii="Arial" w:hAnsi="Arial" w:cs="Arial"/>
              </w:rPr>
              <w:t>Misstatements that the auditor has accumulated during the audit and that have not been corrected.</w:t>
            </w:r>
          </w:p>
        </w:tc>
      </w:tr>
      <w:tr w:rsidR="007D03FA" w:rsidRPr="00166622" w14:paraId="1FF20FD0" w14:textId="77777777" w:rsidTr="00453A1F">
        <w:trPr>
          <w:trHeight w:val="288"/>
        </w:trPr>
        <w:tc>
          <w:tcPr>
            <w:tcW w:w="3600" w:type="dxa"/>
            <w:shd w:val="clear" w:color="auto" w:fill="auto"/>
          </w:tcPr>
          <w:p w14:paraId="6C7A9F83" w14:textId="77777777" w:rsidR="007D03FA" w:rsidRPr="00430DD2" w:rsidRDefault="007D03FA" w:rsidP="007D03FA">
            <w:pPr>
              <w:pStyle w:val="Table-Head-Left"/>
              <w:spacing w:before="120" w:after="120"/>
              <w:rPr>
                <w:rFonts w:ascii="Arial" w:hAnsi="Arial" w:cs="Arial"/>
              </w:rPr>
            </w:pPr>
            <w:r w:rsidRPr="00430DD2">
              <w:rPr>
                <w:rFonts w:ascii="Arial" w:hAnsi="Arial" w:cs="Arial"/>
              </w:rPr>
              <w:t>Universe</w:t>
            </w:r>
          </w:p>
        </w:tc>
        <w:tc>
          <w:tcPr>
            <w:tcW w:w="5760" w:type="dxa"/>
            <w:shd w:val="clear" w:color="auto" w:fill="auto"/>
          </w:tcPr>
          <w:p w14:paraId="3746532F" w14:textId="77777777" w:rsidR="007D03FA" w:rsidRPr="00430DD2" w:rsidRDefault="007D03FA" w:rsidP="007D03FA">
            <w:pPr>
              <w:pStyle w:val="Table-Cell-Left"/>
              <w:spacing w:before="120" w:after="120"/>
              <w:rPr>
                <w:rFonts w:ascii="Arial" w:hAnsi="Arial" w:cs="Arial"/>
              </w:rPr>
            </w:pPr>
            <w:r w:rsidRPr="00430DD2">
              <w:rPr>
                <w:rFonts w:ascii="Arial" w:hAnsi="Arial" w:cs="Arial"/>
              </w:rPr>
              <w:t>See population.</w:t>
            </w:r>
          </w:p>
        </w:tc>
      </w:tr>
      <w:tr w:rsidR="007D03FA" w:rsidRPr="00166622" w14:paraId="049491B8" w14:textId="77777777" w:rsidTr="00453A1F">
        <w:trPr>
          <w:trHeight w:val="288"/>
        </w:trPr>
        <w:tc>
          <w:tcPr>
            <w:tcW w:w="3600" w:type="dxa"/>
            <w:shd w:val="clear" w:color="auto" w:fill="auto"/>
          </w:tcPr>
          <w:p w14:paraId="24555AF5" w14:textId="77777777" w:rsidR="007D03FA" w:rsidRPr="00830239" w:rsidRDefault="007D03FA" w:rsidP="007D03FA">
            <w:pPr>
              <w:pStyle w:val="Table-Head-Left"/>
              <w:spacing w:before="120" w:after="120"/>
              <w:rPr>
                <w:rFonts w:ascii="Arial" w:hAnsi="Arial" w:cs="Arial"/>
              </w:rPr>
            </w:pPr>
            <w:r w:rsidRPr="00830239">
              <w:rPr>
                <w:rFonts w:ascii="Arial" w:hAnsi="Arial" w:cs="Arial"/>
              </w:rPr>
              <w:t>User Auditor</w:t>
            </w:r>
          </w:p>
        </w:tc>
        <w:tc>
          <w:tcPr>
            <w:tcW w:w="5760" w:type="dxa"/>
            <w:shd w:val="clear" w:color="auto" w:fill="auto"/>
          </w:tcPr>
          <w:p w14:paraId="798F2BE9" w14:textId="77777777" w:rsidR="007D03FA" w:rsidRPr="00830239" w:rsidRDefault="007D03FA" w:rsidP="007D03FA">
            <w:pPr>
              <w:pStyle w:val="Table-Cell-Left"/>
              <w:spacing w:before="120" w:after="120"/>
              <w:rPr>
                <w:rFonts w:ascii="Arial" w:hAnsi="Arial" w:cs="Arial"/>
              </w:rPr>
            </w:pPr>
            <w:r w:rsidRPr="00830239">
              <w:rPr>
                <w:rFonts w:ascii="Arial" w:hAnsi="Arial" w:cs="Arial"/>
              </w:rPr>
              <w:t>An auditor who audits and reports on the financial statements of a user entity.</w:t>
            </w:r>
          </w:p>
        </w:tc>
      </w:tr>
      <w:tr w:rsidR="007D03FA" w:rsidRPr="00166622" w14:paraId="1CED5A22" w14:textId="77777777" w:rsidTr="00453A1F">
        <w:trPr>
          <w:trHeight w:val="288"/>
        </w:trPr>
        <w:tc>
          <w:tcPr>
            <w:tcW w:w="3600" w:type="dxa"/>
          </w:tcPr>
          <w:p w14:paraId="52A6EDED" w14:textId="77777777" w:rsidR="007D03FA" w:rsidRPr="00830239" w:rsidRDefault="007D03FA" w:rsidP="007D03FA">
            <w:pPr>
              <w:pStyle w:val="Table-Head-Left"/>
              <w:spacing w:before="120" w:after="120"/>
              <w:rPr>
                <w:rFonts w:ascii="Arial" w:hAnsi="Arial" w:cs="Arial"/>
              </w:rPr>
            </w:pPr>
            <w:r w:rsidRPr="00830239">
              <w:rPr>
                <w:rFonts w:ascii="Arial" w:hAnsi="Arial" w:cs="Arial"/>
              </w:rPr>
              <w:t>User controls</w:t>
            </w:r>
          </w:p>
        </w:tc>
        <w:tc>
          <w:tcPr>
            <w:tcW w:w="5760" w:type="dxa"/>
          </w:tcPr>
          <w:p w14:paraId="69026BC5" w14:textId="77777777" w:rsidR="007D03FA" w:rsidRPr="00830239" w:rsidRDefault="007D03FA" w:rsidP="007D03FA">
            <w:pPr>
              <w:pStyle w:val="Table-Cell-Left"/>
              <w:spacing w:before="120" w:after="120"/>
              <w:rPr>
                <w:rFonts w:ascii="Arial" w:hAnsi="Arial" w:cs="Arial"/>
              </w:rPr>
            </w:pPr>
            <w:r w:rsidRPr="00830239">
              <w:rPr>
                <w:rFonts w:ascii="Arial" w:hAnsi="Arial" w:cs="Arial"/>
              </w:rPr>
              <w:t>Controls that are performed by people interacting with IS controls. The effectiveness of user controls typically depend on the accuracy of the information produced by the IS controls.</w:t>
            </w:r>
          </w:p>
        </w:tc>
      </w:tr>
      <w:tr w:rsidR="007D03FA" w:rsidRPr="00166622" w14:paraId="53949EA7" w14:textId="77777777" w:rsidTr="00453A1F">
        <w:trPr>
          <w:trHeight w:val="288"/>
        </w:trPr>
        <w:tc>
          <w:tcPr>
            <w:tcW w:w="3600" w:type="dxa"/>
          </w:tcPr>
          <w:p w14:paraId="58A77D9A" w14:textId="77777777" w:rsidR="007D03FA" w:rsidRPr="00830239" w:rsidRDefault="007D03FA" w:rsidP="007D03FA">
            <w:pPr>
              <w:pStyle w:val="Table-Head-Left"/>
              <w:spacing w:before="120" w:after="120"/>
              <w:rPr>
                <w:rFonts w:ascii="Arial" w:hAnsi="Arial" w:cs="Arial"/>
              </w:rPr>
            </w:pPr>
            <w:r w:rsidRPr="00830239">
              <w:rPr>
                <w:rFonts w:ascii="Arial" w:hAnsi="Arial" w:cs="Arial"/>
              </w:rPr>
              <w:t>Walk-throughs</w:t>
            </w:r>
          </w:p>
        </w:tc>
        <w:tc>
          <w:tcPr>
            <w:tcW w:w="5760" w:type="dxa"/>
          </w:tcPr>
          <w:p w14:paraId="2C8A6014" w14:textId="77777777" w:rsidR="007D03FA" w:rsidRPr="00830239" w:rsidRDefault="007D03FA" w:rsidP="007D03FA">
            <w:pPr>
              <w:pStyle w:val="Table-Cell-Left"/>
              <w:spacing w:before="120" w:after="120"/>
              <w:rPr>
                <w:rFonts w:ascii="Arial" w:hAnsi="Arial" w:cs="Arial"/>
              </w:rPr>
            </w:pPr>
            <w:r w:rsidRPr="00830239">
              <w:rPr>
                <w:rFonts w:ascii="Arial" w:hAnsi="Arial" w:cs="Arial"/>
              </w:rPr>
              <w:t>Audit procedures to help the auditor understand the design of controls and whether they have been implemented. They may also provide some evidence of control effectiveness. Walk-throughs of financial reporting controls include tracing one or more transactions from initiation, through all processing, to inclusion in the general ledger; observing the processing and applicable controls in operation; making inquiries of personnel applying the controls; and examining related documents.</w:t>
            </w:r>
          </w:p>
        </w:tc>
      </w:tr>
    </w:tbl>
    <w:p w14:paraId="07976023" w14:textId="77777777" w:rsidR="00B54BD4" w:rsidRPr="00166622" w:rsidRDefault="00B54BD4">
      <w:pPr>
        <w:rPr>
          <w:rFonts w:ascii="Arial" w:hAnsi="Arial" w:cs="Arial"/>
        </w:rPr>
      </w:pPr>
      <w:r w:rsidRPr="00166622">
        <w:rPr>
          <w:rFonts w:ascii="Arial" w:hAnsi="Arial" w:cs="Arial"/>
          <w:b/>
          <w:bCs/>
        </w:rPr>
        <w:br w:type="page"/>
      </w:r>
    </w:p>
    <w:tbl>
      <w:tblPr>
        <w:tblW w:w="9360" w:type="dxa"/>
        <w:tblLayout w:type="fixed"/>
        <w:tblCellMar>
          <w:left w:w="0" w:type="dxa"/>
          <w:right w:w="0" w:type="dxa"/>
        </w:tblCellMar>
        <w:tblLook w:val="0000" w:firstRow="0" w:lastRow="0" w:firstColumn="0" w:lastColumn="0" w:noHBand="0" w:noVBand="0"/>
      </w:tblPr>
      <w:tblGrid>
        <w:gridCol w:w="3600"/>
        <w:gridCol w:w="5760"/>
      </w:tblGrid>
      <w:tr w:rsidR="001679CE" w:rsidRPr="00166622" w14:paraId="4850517C" w14:textId="77777777">
        <w:tc>
          <w:tcPr>
            <w:tcW w:w="3600" w:type="dxa"/>
          </w:tcPr>
          <w:p w14:paraId="554FCEAB" w14:textId="77777777" w:rsidR="001679CE" w:rsidRPr="00166622" w:rsidRDefault="001679CE" w:rsidP="00830239">
            <w:pPr>
              <w:pStyle w:val="Table-Head-Left"/>
              <w:spacing w:before="120" w:after="120"/>
              <w:rPr>
                <w:rFonts w:ascii="Arial" w:hAnsi="Arial" w:cs="Arial"/>
              </w:rPr>
            </w:pPr>
          </w:p>
        </w:tc>
        <w:tc>
          <w:tcPr>
            <w:tcW w:w="5760" w:type="dxa"/>
          </w:tcPr>
          <w:p w14:paraId="71B8598C" w14:textId="77777777" w:rsidR="001679CE" w:rsidRPr="00830239" w:rsidRDefault="001679CE" w:rsidP="00830239">
            <w:pPr>
              <w:pStyle w:val="Table-Cell-Left"/>
              <w:spacing w:before="120" w:after="120"/>
              <w:rPr>
                <w:rFonts w:ascii="Arial" w:hAnsi="Arial" w:cs="Arial"/>
                <w:b/>
              </w:rPr>
            </w:pPr>
            <w:r w:rsidRPr="00166622">
              <w:rPr>
                <w:rFonts w:ascii="Arial" w:hAnsi="Arial" w:cs="Arial"/>
                <w:b/>
              </w:rPr>
              <w:t>OTHER GLOSSARIES</w:t>
            </w:r>
          </w:p>
        </w:tc>
      </w:tr>
      <w:tr w:rsidR="00D72A1A" w:rsidRPr="00166622" w14:paraId="56B2138C" w14:textId="77777777">
        <w:tc>
          <w:tcPr>
            <w:tcW w:w="3600" w:type="dxa"/>
          </w:tcPr>
          <w:p w14:paraId="4C52E52D" w14:textId="77777777" w:rsidR="00D72A1A" w:rsidRPr="00166622" w:rsidRDefault="00D72A1A" w:rsidP="00D72A1A">
            <w:pPr>
              <w:pStyle w:val="Table-Head-Left"/>
              <w:spacing w:before="120" w:after="120"/>
              <w:rPr>
                <w:rFonts w:ascii="Arial" w:hAnsi="Arial" w:cs="Arial"/>
              </w:rPr>
            </w:pPr>
            <w:r w:rsidRPr="00166622">
              <w:rPr>
                <w:rFonts w:ascii="Arial" w:hAnsi="Arial" w:cs="Arial"/>
              </w:rPr>
              <w:t>NOTE 1</w:t>
            </w:r>
          </w:p>
        </w:tc>
        <w:tc>
          <w:tcPr>
            <w:tcW w:w="5760" w:type="dxa"/>
          </w:tcPr>
          <w:p w14:paraId="232ED51A" w14:textId="2F6310EB" w:rsidR="00D72A1A" w:rsidRPr="00166622" w:rsidRDefault="00D72A1A" w:rsidP="00D72A1A">
            <w:pPr>
              <w:pStyle w:val="Table-Cell-Left"/>
              <w:spacing w:before="120" w:after="120"/>
              <w:rPr>
                <w:rFonts w:ascii="Arial" w:hAnsi="Arial" w:cs="Arial"/>
              </w:rPr>
            </w:pPr>
            <w:r w:rsidRPr="00166622">
              <w:rPr>
                <w:rFonts w:ascii="Arial" w:hAnsi="Arial" w:cs="Arial"/>
              </w:rPr>
              <w:t xml:space="preserve">The </w:t>
            </w:r>
            <w:r w:rsidRPr="00166622">
              <w:rPr>
                <w:rFonts w:ascii="Arial" w:hAnsi="Arial" w:cs="Arial"/>
                <w:i/>
              </w:rPr>
              <w:t>Federal Infor</w:t>
            </w:r>
            <w:bookmarkStart w:id="0" w:name="_GoBack"/>
            <w:bookmarkEnd w:id="0"/>
            <w:r w:rsidRPr="00166622">
              <w:rPr>
                <w:rFonts w:ascii="Arial" w:hAnsi="Arial" w:cs="Arial"/>
                <w:i/>
              </w:rPr>
              <w:t>mation System Controls Audit Manual</w:t>
            </w:r>
            <w:r w:rsidRPr="00166622">
              <w:rPr>
                <w:rFonts w:ascii="Arial" w:hAnsi="Arial" w:cs="Arial"/>
              </w:rPr>
              <w:t xml:space="preserve"> </w:t>
            </w:r>
            <w:r w:rsidRPr="002059C2">
              <w:rPr>
                <w:rFonts w:ascii="Arial" w:hAnsi="Arial" w:cs="Arial"/>
                <w:i/>
              </w:rPr>
              <w:t>(FISCAM)</w:t>
            </w:r>
            <w:r w:rsidRPr="00166622">
              <w:rPr>
                <w:rFonts w:ascii="Arial" w:hAnsi="Arial" w:cs="Arial"/>
              </w:rPr>
              <w:t xml:space="preserve"> contains a glossary of information systems terms (see GAO-09-232G, February 2009).</w:t>
            </w:r>
          </w:p>
        </w:tc>
      </w:tr>
      <w:tr w:rsidR="00D72A1A" w:rsidRPr="00166622" w14:paraId="318F0491" w14:textId="77777777">
        <w:tc>
          <w:tcPr>
            <w:tcW w:w="3600" w:type="dxa"/>
          </w:tcPr>
          <w:p w14:paraId="08A4B82E" w14:textId="77777777" w:rsidR="00D72A1A" w:rsidRPr="00166622" w:rsidRDefault="00D72A1A" w:rsidP="00D72A1A">
            <w:pPr>
              <w:pStyle w:val="Table-Head-Left"/>
              <w:spacing w:before="120" w:after="120"/>
              <w:rPr>
                <w:rFonts w:ascii="Arial" w:hAnsi="Arial" w:cs="Arial"/>
              </w:rPr>
            </w:pPr>
            <w:r w:rsidRPr="00166622">
              <w:rPr>
                <w:rFonts w:ascii="Arial" w:hAnsi="Arial" w:cs="Arial"/>
              </w:rPr>
              <w:t>NOTE 2</w:t>
            </w:r>
          </w:p>
        </w:tc>
        <w:tc>
          <w:tcPr>
            <w:tcW w:w="5760" w:type="dxa"/>
          </w:tcPr>
          <w:p w14:paraId="085EA28F" w14:textId="60D77DC5" w:rsidR="00D72A1A" w:rsidRPr="00166622" w:rsidRDefault="00D72A1A" w:rsidP="00D72A1A">
            <w:pPr>
              <w:pStyle w:val="Table-Cell-Left"/>
              <w:spacing w:before="120" w:after="120"/>
              <w:rPr>
                <w:rFonts w:ascii="Arial" w:hAnsi="Arial" w:cs="Arial"/>
              </w:rPr>
            </w:pPr>
            <w:r w:rsidRPr="00166622">
              <w:rPr>
                <w:rFonts w:ascii="Arial" w:hAnsi="Arial" w:cs="Arial"/>
                <w:i/>
              </w:rPr>
              <w:t>A Glossary of Terms Used in the Federal Budget Process</w:t>
            </w:r>
            <w:r w:rsidRPr="00166622">
              <w:rPr>
                <w:rFonts w:ascii="Arial" w:hAnsi="Arial" w:cs="Arial"/>
              </w:rPr>
              <w:t xml:space="preserve"> contains additional terms and definitions</w:t>
            </w:r>
            <w:r>
              <w:rPr>
                <w:rFonts w:ascii="Arial" w:hAnsi="Arial" w:cs="Arial"/>
              </w:rPr>
              <w:t xml:space="preserve"> </w:t>
            </w:r>
            <w:r w:rsidRPr="00166622">
              <w:rPr>
                <w:rFonts w:ascii="Arial" w:hAnsi="Arial" w:cs="Arial"/>
              </w:rPr>
              <w:t>(</w:t>
            </w:r>
            <w:r>
              <w:rPr>
                <w:rFonts w:ascii="Arial" w:hAnsi="Arial" w:cs="Arial"/>
              </w:rPr>
              <w:t>s</w:t>
            </w:r>
            <w:r w:rsidRPr="00166622">
              <w:rPr>
                <w:rFonts w:ascii="Arial" w:hAnsi="Arial" w:cs="Arial"/>
              </w:rPr>
              <w:t>ee GAO-05-734SP, September 2005).</w:t>
            </w:r>
          </w:p>
        </w:tc>
      </w:tr>
      <w:tr w:rsidR="00D72A1A" w:rsidRPr="00166622" w14:paraId="6B9A8577" w14:textId="77777777">
        <w:tc>
          <w:tcPr>
            <w:tcW w:w="3600" w:type="dxa"/>
          </w:tcPr>
          <w:p w14:paraId="56AF067E" w14:textId="77777777" w:rsidR="00D72A1A" w:rsidRPr="00166622" w:rsidRDefault="00D72A1A" w:rsidP="00D72A1A">
            <w:pPr>
              <w:pStyle w:val="Table-Head-Left"/>
              <w:spacing w:before="120" w:after="120"/>
              <w:rPr>
                <w:rFonts w:ascii="Arial" w:hAnsi="Arial" w:cs="Arial"/>
              </w:rPr>
            </w:pPr>
            <w:r w:rsidRPr="00166622">
              <w:rPr>
                <w:rFonts w:ascii="Arial" w:hAnsi="Arial" w:cs="Arial"/>
              </w:rPr>
              <w:t>NOTE 3</w:t>
            </w:r>
          </w:p>
        </w:tc>
        <w:tc>
          <w:tcPr>
            <w:tcW w:w="5760" w:type="dxa"/>
          </w:tcPr>
          <w:p w14:paraId="1398E51F" w14:textId="277F6AAB" w:rsidR="00D72A1A" w:rsidRPr="00166622" w:rsidRDefault="00D72A1A" w:rsidP="00D72A1A">
            <w:pPr>
              <w:pStyle w:val="Table-Cell-Left"/>
              <w:spacing w:before="120" w:after="120"/>
              <w:rPr>
                <w:rFonts w:ascii="Arial" w:hAnsi="Arial" w:cs="Arial"/>
              </w:rPr>
            </w:pPr>
            <w:r w:rsidRPr="00166622">
              <w:rPr>
                <w:rFonts w:ascii="Arial" w:hAnsi="Arial" w:cs="Arial"/>
              </w:rPr>
              <w:t>The AICP</w:t>
            </w:r>
            <w:r>
              <w:rPr>
                <w:rFonts w:ascii="Arial" w:hAnsi="Arial" w:cs="Arial"/>
              </w:rPr>
              <w:t>A’s</w:t>
            </w:r>
            <w:r w:rsidRPr="00166622">
              <w:rPr>
                <w:rFonts w:ascii="Arial" w:hAnsi="Arial" w:cs="Arial"/>
              </w:rPr>
              <w:t xml:space="preserve"> </w:t>
            </w:r>
            <w:r w:rsidRPr="00166622">
              <w:rPr>
                <w:rFonts w:ascii="Arial" w:hAnsi="Arial" w:cs="Arial"/>
                <w:i/>
              </w:rPr>
              <w:t>Audit Sampling Guide</w:t>
            </w:r>
            <w:r w:rsidRPr="00166622">
              <w:rPr>
                <w:rFonts w:ascii="Arial" w:hAnsi="Arial" w:cs="Arial"/>
              </w:rPr>
              <w:t xml:space="preserve"> contains a glossary of terms.</w:t>
            </w:r>
          </w:p>
        </w:tc>
      </w:tr>
      <w:tr w:rsidR="00D72A1A" w:rsidRPr="00166622" w14:paraId="5299989B" w14:textId="77777777">
        <w:tc>
          <w:tcPr>
            <w:tcW w:w="3600" w:type="dxa"/>
          </w:tcPr>
          <w:p w14:paraId="21FF10B5" w14:textId="77777777" w:rsidR="00D72A1A" w:rsidRPr="00166622" w:rsidRDefault="00D72A1A" w:rsidP="00D72A1A">
            <w:pPr>
              <w:pStyle w:val="Table-Head-Left"/>
              <w:spacing w:before="120" w:after="120"/>
              <w:rPr>
                <w:rFonts w:ascii="Arial" w:hAnsi="Arial" w:cs="Arial"/>
              </w:rPr>
            </w:pPr>
            <w:r>
              <w:rPr>
                <w:rFonts w:ascii="Arial" w:hAnsi="Arial" w:cs="Arial"/>
              </w:rPr>
              <w:t>NOTE</w:t>
            </w:r>
            <w:r w:rsidRPr="00166622">
              <w:rPr>
                <w:rFonts w:ascii="Arial" w:hAnsi="Arial" w:cs="Arial"/>
              </w:rPr>
              <w:t xml:space="preserve"> 4</w:t>
            </w:r>
          </w:p>
        </w:tc>
        <w:tc>
          <w:tcPr>
            <w:tcW w:w="5760" w:type="dxa"/>
          </w:tcPr>
          <w:p w14:paraId="5130A793" w14:textId="5881FD22" w:rsidR="00D72A1A" w:rsidRPr="00166622" w:rsidRDefault="00D72A1A" w:rsidP="00D72A1A">
            <w:pPr>
              <w:pStyle w:val="Table-Cell-Left"/>
              <w:spacing w:before="120" w:after="120"/>
              <w:rPr>
                <w:rFonts w:ascii="Arial" w:hAnsi="Arial" w:cs="Arial"/>
              </w:rPr>
            </w:pPr>
            <w:r w:rsidRPr="00166622">
              <w:rPr>
                <w:rFonts w:ascii="Arial" w:hAnsi="Arial" w:cs="Arial"/>
              </w:rPr>
              <w:t>The Federal Accounting Standards Advisory Boar</w:t>
            </w:r>
            <w:r>
              <w:rPr>
                <w:rFonts w:ascii="Arial" w:hAnsi="Arial" w:cs="Arial"/>
              </w:rPr>
              <w:t>d’s</w:t>
            </w:r>
            <w:r w:rsidRPr="00166622">
              <w:rPr>
                <w:rFonts w:ascii="Arial" w:hAnsi="Arial" w:cs="Arial"/>
              </w:rPr>
              <w:t xml:space="preserve"> </w:t>
            </w:r>
            <w:r w:rsidRPr="002059C2">
              <w:rPr>
                <w:rFonts w:ascii="Arial" w:hAnsi="Arial" w:cs="Arial"/>
                <w:i/>
              </w:rPr>
              <w:t>Handbook</w:t>
            </w:r>
            <w:r w:rsidRPr="00166622">
              <w:rPr>
                <w:rFonts w:ascii="Arial" w:hAnsi="Arial" w:cs="Arial"/>
              </w:rPr>
              <w:t xml:space="preserve"> </w:t>
            </w:r>
            <w:r w:rsidRPr="002059C2">
              <w:rPr>
                <w:rFonts w:ascii="Arial" w:hAnsi="Arial" w:cs="Arial"/>
                <w:i/>
              </w:rPr>
              <w:t>of</w:t>
            </w:r>
            <w:r w:rsidRPr="00166622">
              <w:rPr>
                <w:rFonts w:ascii="Arial" w:hAnsi="Arial" w:cs="Arial"/>
              </w:rPr>
              <w:t xml:space="preserve"> </w:t>
            </w:r>
            <w:r w:rsidRPr="002059C2">
              <w:rPr>
                <w:rFonts w:ascii="Arial" w:hAnsi="Arial" w:cs="Arial"/>
                <w:i/>
              </w:rPr>
              <w:t>Federal</w:t>
            </w:r>
            <w:r w:rsidRPr="00166622">
              <w:rPr>
                <w:rFonts w:ascii="Arial" w:hAnsi="Arial" w:cs="Arial"/>
              </w:rPr>
              <w:t xml:space="preserve"> </w:t>
            </w:r>
            <w:r w:rsidRPr="002059C2">
              <w:rPr>
                <w:rFonts w:ascii="Arial" w:hAnsi="Arial" w:cs="Arial"/>
                <w:i/>
              </w:rPr>
              <w:t>Accounting</w:t>
            </w:r>
            <w:r w:rsidRPr="00166622">
              <w:rPr>
                <w:rFonts w:ascii="Arial" w:hAnsi="Arial" w:cs="Arial"/>
              </w:rPr>
              <w:t xml:space="preserve"> </w:t>
            </w:r>
            <w:r w:rsidRPr="002059C2">
              <w:rPr>
                <w:rFonts w:ascii="Arial" w:hAnsi="Arial" w:cs="Arial"/>
                <w:i/>
              </w:rPr>
              <w:t>Standards</w:t>
            </w:r>
            <w:r w:rsidRPr="00166622">
              <w:rPr>
                <w:rFonts w:ascii="Arial" w:hAnsi="Arial" w:cs="Arial"/>
              </w:rPr>
              <w:t xml:space="preserve"> </w:t>
            </w:r>
            <w:r w:rsidRPr="002059C2">
              <w:rPr>
                <w:rFonts w:ascii="Arial" w:hAnsi="Arial" w:cs="Arial"/>
                <w:i/>
              </w:rPr>
              <w:t>and</w:t>
            </w:r>
            <w:r w:rsidRPr="00166622">
              <w:rPr>
                <w:rFonts w:ascii="Arial" w:hAnsi="Arial" w:cs="Arial"/>
              </w:rPr>
              <w:t xml:space="preserve"> </w:t>
            </w:r>
            <w:r w:rsidRPr="002059C2">
              <w:rPr>
                <w:rFonts w:ascii="Arial" w:hAnsi="Arial" w:cs="Arial"/>
                <w:i/>
              </w:rPr>
              <w:t>Other</w:t>
            </w:r>
            <w:r w:rsidRPr="00166622">
              <w:rPr>
                <w:rFonts w:ascii="Arial" w:hAnsi="Arial" w:cs="Arial"/>
              </w:rPr>
              <w:t xml:space="preserve"> </w:t>
            </w:r>
            <w:r w:rsidRPr="002059C2">
              <w:rPr>
                <w:rFonts w:ascii="Arial" w:hAnsi="Arial" w:cs="Arial"/>
                <w:i/>
              </w:rPr>
              <w:t>Pronouncements,</w:t>
            </w:r>
            <w:r w:rsidRPr="00166622">
              <w:rPr>
                <w:rFonts w:ascii="Arial" w:hAnsi="Arial" w:cs="Arial"/>
              </w:rPr>
              <w:t xml:space="preserve"> </w:t>
            </w:r>
            <w:r w:rsidRPr="002059C2">
              <w:rPr>
                <w:rFonts w:ascii="Arial" w:hAnsi="Arial" w:cs="Arial"/>
                <w:i/>
              </w:rPr>
              <w:t>as</w:t>
            </w:r>
            <w:r w:rsidRPr="00166622">
              <w:rPr>
                <w:rFonts w:ascii="Arial" w:hAnsi="Arial" w:cs="Arial"/>
              </w:rPr>
              <w:t xml:space="preserve"> </w:t>
            </w:r>
            <w:r w:rsidRPr="002059C2">
              <w:rPr>
                <w:rFonts w:ascii="Arial" w:hAnsi="Arial" w:cs="Arial"/>
                <w:i/>
              </w:rPr>
              <w:t>Amended</w:t>
            </w:r>
            <w:r w:rsidRPr="00166622">
              <w:rPr>
                <w:rFonts w:ascii="Arial" w:hAnsi="Arial" w:cs="Arial"/>
              </w:rPr>
              <w:t xml:space="preserve"> contains a glossary of terms.</w:t>
            </w:r>
          </w:p>
        </w:tc>
      </w:tr>
    </w:tbl>
    <w:p w14:paraId="698042DB" w14:textId="77777777" w:rsidR="009A17F4" w:rsidRPr="00166622" w:rsidRDefault="009A17F4" w:rsidP="000B5958">
      <w:pPr>
        <w:rPr>
          <w:rFonts w:ascii="Arial" w:hAnsi="Arial" w:cs="Arial"/>
        </w:rPr>
      </w:pPr>
    </w:p>
    <w:sectPr w:rsidR="009A17F4" w:rsidRPr="00166622" w:rsidSect="00CE35A1">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code="1"/>
      <w:pgMar w:top="1440" w:right="1440" w:bottom="1152"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104D9" w14:textId="77777777" w:rsidR="007D03FA" w:rsidRDefault="007D03FA">
      <w:r>
        <w:separator/>
      </w:r>
    </w:p>
  </w:endnote>
  <w:endnote w:type="continuationSeparator" w:id="0">
    <w:p w14:paraId="78525671" w14:textId="77777777" w:rsidR="007D03FA" w:rsidRDefault="007D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Century Book">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2B6BF" w14:textId="77777777" w:rsidR="007D03FA" w:rsidRDefault="007D03FA">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rPr>
        <w:rFonts w:ascii="Times New Roman" w:hAnsi="Times New Roman"/>
      </w:rPr>
    </w:pPr>
    <w:r>
      <w:rPr>
        <w:noProof/>
      </w:rPr>
      <mc:AlternateContent>
        <mc:Choice Requires="wps">
          <w:drawing>
            <wp:anchor distT="0" distB="0" distL="114300" distR="114300" simplePos="0" relativeHeight="251657216" behindDoc="1" locked="1" layoutInCell="1" allowOverlap="1" wp14:anchorId="2405FD26" wp14:editId="14CD5148">
              <wp:simplePos x="0" y="0"/>
              <wp:positionH relativeFrom="page">
                <wp:posOffset>1384935</wp:posOffset>
              </wp:positionH>
              <wp:positionV relativeFrom="paragraph">
                <wp:posOffset>170180</wp:posOffset>
              </wp:positionV>
              <wp:extent cx="5486400" cy="12065"/>
              <wp:effectExtent l="3810" t="0" r="0" b="0"/>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4E226" id="Rectangle 11" o:spid="_x0000_s1026" style="position:absolute;margin-left:109.05pt;margin-top:13.4pt;width:6in;height:.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1c95QIAADE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" fillcolor="black" stroked="f" strokeweight="0">
              <w10:wrap anchorx="page"/>
              <w10:anchorlock/>
            </v:rect>
          </w:pict>
        </mc:Fallback>
      </mc:AlternateContent>
    </w:r>
  </w:p>
  <w:p w14:paraId="0A298A31" w14:textId="77777777" w:rsidR="007D03FA" w:rsidRDefault="007D03FA">
    <w:pPr>
      <w:tabs>
        <w:tab w:val="left" w:pos="0"/>
        <w:tab w:val="left" w:pos="102"/>
        <w:tab w:val="left" w:pos="306"/>
        <w:tab w:val="left" w:pos="510"/>
        <w:tab w:val="left" w:pos="1122"/>
        <w:tab w:val="center" w:pos="5220"/>
        <w:tab w:val="right" w:pos="9720"/>
      </w:tabs>
      <w:ind w:left="2347" w:hanging="1224"/>
    </w:pPr>
    <w:r>
      <w:t>July 2001</w:t>
    </w:r>
    <w:r>
      <w:tab/>
      <w:t>GAO/PCIE Financial Audit Manual</w:t>
    </w:r>
    <w:r>
      <w:tab/>
      <w:t>Page 220-</w:t>
    </w:r>
    <w:r>
      <w:fldChar w:fldCharType="begin"/>
    </w:r>
    <w:r>
      <w:instrText xml:space="preserve">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C2271" w14:textId="7714C449" w:rsidR="007D03FA" w:rsidRPr="00E12818" w:rsidRDefault="007D03FA" w:rsidP="00356242">
    <w:pPr>
      <w:pStyle w:val="Footer"/>
      <w:rPr>
        <w:rFonts w:ascii="Arial" w:hAnsi="Arial" w:cs="Arial"/>
      </w:rPr>
    </w:pPr>
    <w:r>
      <w:rPr>
        <w:rFonts w:ascii="Arial" w:hAnsi="Arial" w:cs="Arial"/>
      </w:rPr>
      <w:t xml:space="preserve">Updated </w:t>
    </w:r>
    <w:r w:rsidR="00690F70">
      <w:rPr>
        <w:rFonts w:ascii="Arial" w:hAnsi="Arial" w:cs="Arial"/>
      </w:rPr>
      <w:t>April 2020</w:t>
    </w:r>
    <w:r w:rsidRPr="00E12818">
      <w:rPr>
        <w:rFonts w:ascii="Arial" w:hAnsi="Arial" w:cs="Arial"/>
      </w:rPr>
      <w:tab/>
      <w:t>GAO/CI</w:t>
    </w:r>
    <w:r>
      <w:rPr>
        <w:rFonts w:ascii="Arial" w:hAnsi="Arial" w:cs="Arial"/>
      </w:rPr>
      <w:t>GI</w:t>
    </w:r>
    <w:r w:rsidRPr="00E12818">
      <w:rPr>
        <w:rFonts w:ascii="Arial" w:hAnsi="Arial" w:cs="Arial"/>
      </w:rPr>
      <w:t>E Financial Audit Manual</w:t>
    </w:r>
    <w:r w:rsidRPr="00E12818">
      <w:rPr>
        <w:rFonts w:ascii="Arial" w:hAnsi="Arial" w:cs="Arial"/>
      </w:rPr>
      <w:tab/>
      <w:t>Glossary-</w:t>
    </w:r>
    <w:r w:rsidRPr="00E12818">
      <w:rPr>
        <w:rFonts w:ascii="Arial" w:hAnsi="Arial" w:cs="Arial"/>
      </w:rPr>
      <w:fldChar w:fldCharType="begin"/>
    </w:r>
    <w:r w:rsidRPr="00E12818">
      <w:rPr>
        <w:rFonts w:ascii="Arial" w:hAnsi="Arial" w:cs="Arial"/>
      </w:rPr>
      <w:instrText xml:space="preserve">PAGE </w:instrText>
    </w:r>
    <w:r w:rsidRPr="00E12818">
      <w:rPr>
        <w:rFonts w:ascii="Arial" w:hAnsi="Arial" w:cs="Arial"/>
      </w:rPr>
      <w:fldChar w:fldCharType="separate"/>
    </w:r>
    <w:r w:rsidR="00D72A1A">
      <w:rPr>
        <w:rFonts w:ascii="Arial" w:hAnsi="Arial" w:cs="Arial"/>
        <w:noProof/>
      </w:rPr>
      <w:t>32</w:t>
    </w:r>
    <w:r w:rsidRPr="00E12818">
      <w:rP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7E1FC" w14:textId="77777777" w:rsidR="007D03FA" w:rsidRDefault="007D03FA">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rPr>
        <w:rFonts w:ascii="Times New Roman" w:hAnsi="Times New Roman"/>
      </w:rPr>
    </w:pPr>
    <w:r>
      <w:rPr>
        <w:noProof/>
      </w:rPr>
      <mc:AlternateContent>
        <mc:Choice Requires="wps">
          <w:drawing>
            <wp:anchor distT="0" distB="0" distL="114300" distR="114300" simplePos="0" relativeHeight="251656192" behindDoc="1" locked="1" layoutInCell="1" allowOverlap="1" wp14:anchorId="23B3ECA8" wp14:editId="488AB708">
              <wp:simplePos x="0" y="0"/>
              <wp:positionH relativeFrom="page">
                <wp:posOffset>1613535</wp:posOffset>
              </wp:positionH>
              <wp:positionV relativeFrom="paragraph">
                <wp:posOffset>170180</wp:posOffset>
              </wp:positionV>
              <wp:extent cx="5486400" cy="12065"/>
              <wp:effectExtent l="3810" t="0" r="0" b="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F89A4" id="Rectangle 10" o:spid="_x0000_s1026" style="position:absolute;margin-left:127.05pt;margin-top:13.4pt;width:6in;height:.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" fillcolor="black" stroked="f" strokeweight="0">
              <w10:wrap anchorx="page"/>
              <w10:anchorlock/>
            </v:rect>
          </w:pict>
        </mc:Fallback>
      </mc:AlternateContent>
    </w:r>
  </w:p>
  <w:p w14:paraId="46E56194" w14:textId="77777777" w:rsidR="007D03FA" w:rsidRDefault="007D03FA">
    <w:pPr>
      <w:tabs>
        <w:tab w:val="left" w:pos="0"/>
        <w:tab w:val="left" w:pos="102"/>
        <w:tab w:val="left" w:pos="306"/>
        <w:tab w:val="left" w:pos="510"/>
        <w:tab w:val="left" w:pos="1122"/>
        <w:tab w:val="center" w:pos="5220"/>
        <w:tab w:val="right" w:pos="9720"/>
      </w:tabs>
      <w:ind w:left="2347" w:hanging="1224"/>
    </w:pPr>
    <w:r>
      <w:t>July 2001</w:t>
    </w:r>
    <w:r>
      <w:tab/>
      <w:t>GAO/PCIE Financial Audit Manual</w:t>
    </w:r>
    <w:r>
      <w:tab/>
      <w:t>Page 220-</w:t>
    </w:r>
    <w:r>
      <w:fldChar w:fldCharType="begin"/>
    </w:r>
    <w:r>
      <w:instrText xml:space="preserve">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D180E" w14:textId="77777777" w:rsidR="007D03FA" w:rsidRDefault="007D03FA">
      <w:r>
        <w:separator/>
      </w:r>
    </w:p>
  </w:footnote>
  <w:footnote w:type="continuationSeparator" w:id="0">
    <w:p w14:paraId="75EF910B" w14:textId="77777777" w:rsidR="007D03FA" w:rsidRDefault="007D0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E49BA" w14:textId="77777777" w:rsidR="007D03FA" w:rsidRDefault="007D03FA">
    <w:pPr>
      <w:pStyle w:val="Heade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rFonts w:ascii="Times New Roman" w:hAnsi="Times New Roman"/>
        <w:noProof/>
      </w:rPr>
    </w:pPr>
    <w:r>
      <w:rPr>
        <w:noProof/>
      </w:rPr>
      <mc:AlternateContent>
        <mc:Choice Requires="wps">
          <w:drawing>
            <wp:anchor distT="0" distB="0" distL="114300" distR="114300" simplePos="0" relativeHeight="251658240" behindDoc="1" locked="1" layoutInCell="1" allowOverlap="1" wp14:anchorId="477C6B00" wp14:editId="0B21B1F3">
              <wp:simplePos x="0" y="0"/>
              <wp:positionH relativeFrom="page">
                <wp:posOffset>1384935</wp:posOffset>
              </wp:positionH>
              <wp:positionV relativeFrom="paragraph">
                <wp:posOffset>-35560</wp:posOffset>
              </wp:positionV>
              <wp:extent cx="5486400" cy="12065"/>
              <wp:effectExtent l="3810" t="2540" r="0" b="4445"/>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6EC32F" id="Rectangle 12" o:spid="_x0000_s1026" style="position:absolute;margin-left:109.05pt;margin-top:-2.8pt;width:6in;height:.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6tH5gIAADE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" fillcolor="black" stroked="f" strokeweight="0">
              <w10:wrap anchorx="page"/>
              <w10:anchorlock/>
            </v:rect>
          </w:pict>
        </mc:Fallback>
      </mc:AlternateContent>
    </w:r>
  </w:p>
  <w:p w14:paraId="6C4F39FC" w14:textId="77777777" w:rsidR="007D03FA" w:rsidRDefault="007D03FA">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rFonts w:ascii="Times New Roman" w:hAnsi="Times New Roman"/>
        <w:b/>
        <w:bCs/>
      </w:rPr>
      <w:tab/>
    </w:r>
    <w:r>
      <w:rPr>
        <w:rFonts w:ascii="Times New Roman" w:hAnsi="Times New Roman"/>
        <w:b/>
        <w:bCs/>
      </w:rPr>
      <w:tab/>
    </w:r>
    <w:r>
      <w:rPr>
        <w:b/>
        <w:bCs/>
      </w:rPr>
      <w:t>Planning Phase</w:t>
    </w:r>
  </w:p>
  <w:p w14:paraId="36707B73" w14:textId="77777777" w:rsidR="007D03FA" w:rsidRDefault="007D03FA">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220 - Understand the Entity’s Operations</w:t>
    </w:r>
  </w:p>
  <w:p w14:paraId="143CAAD8" w14:textId="77777777" w:rsidR="007D03FA" w:rsidRDefault="007D03FA">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rFonts w:ascii="Times New Roman" w:hAnsi="Times New Roman"/>
      </w:rPr>
    </w:pPr>
    <w:r>
      <w:rPr>
        <w:noProof/>
      </w:rPr>
      <mc:AlternateContent>
        <mc:Choice Requires="wps">
          <w:drawing>
            <wp:anchor distT="0" distB="0" distL="114300" distR="114300" simplePos="0" relativeHeight="251659264" behindDoc="1" locked="1" layoutInCell="1" allowOverlap="1" wp14:anchorId="26B46DAD" wp14:editId="72E05ABD">
              <wp:simplePos x="0" y="0"/>
              <wp:positionH relativeFrom="page">
                <wp:posOffset>1384935</wp:posOffset>
              </wp:positionH>
              <wp:positionV relativeFrom="paragraph">
                <wp:posOffset>-23495</wp:posOffset>
              </wp:positionV>
              <wp:extent cx="5486400" cy="12065"/>
              <wp:effectExtent l="3810" t="0" r="0" b="1905"/>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8656ED" id="Rectangle 13" o:spid="_x0000_s1026" style="position:absolute;margin-left:109.05pt;margin-top:-1.85pt;width:6in;height:.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XkW5gIAADE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" fillcolor="black" stroked="f" strokeweight="0">
              <w10:wrap anchorx="page"/>
              <w10:anchorlock/>
            </v:rect>
          </w:pict>
        </mc:Fallback>
      </mc:AlternateContent>
    </w:r>
  </w:p>
  <w:p w14:paraId="7672DF8E" w14:textId="77777777" w:rsidR="007D03FA" w:rsidRDefault="007D03FA">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rFonts w:ascii="Times New Roman" w:hAnsi="Times New Roman"/>
      </w:rPr>
    </w:pPr>
  </w:p>
  <w:p w14:paraId="2FF7488B" w14:textId="77777777" w:rsidR="007D03FA" w:rsidRDefault="007D03FA">
    <w:pPr>
      <w:spacing w:line="240" w:lineRule="exact"/>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DDEA0" w14:textId="2F1C98FB" w:rsidR="007D03FA" w:rsidRPr="00E12818" w:rsidRDefault="007D03FA" w:rsidP="00356242">
    <w:pPr>
      <w:pStyle w:val="Header"/>
      <w:rPr>
        <w:rFonts w:ascii="Arial" w:hAnsi="Arial" w:cs="Arial"/>
      </w:rPr>
    </w:pPr>
    <w:r w:rsidRPr="00E12818">
      <w:rPr>
        <w:rFonts w:ascii="Arial" w:hAnsi="Arial" w:cs="Arial"/>
      </w:rPr>
      <w:t>All Audit Phases</w:t>
    </w:r>
    <w:r>
      <w:rPr>
        <w:rFonts w:ascii="Arial" w:hAnsi="Arial" w:cs="Arial"/>
      </w:rPr>
      <w:br/>
    </w:r>
    <w:r w:rsidRPr="00E12818">
      <w:rPr>
        <w:rFonts w:ascii="Arial" w:hAnsi="Arial" w:cs="Arial"/>
      </w:rPr>
      <w:fldChar w:fldCharType="begin"/>
    </w:r>
    <w:r w:rsidRPr="00E12818">
      <w:rPr>
        <w:rFonts w:ascii="Arial" w:hAnsi="Arial" w:cs="Arial"/>
      </w:rPr>
      <w:instrText xml:space="preserve"> STYLEREF  "Heading 2"  \* MERGEFORMAT </w:instrText>
    </w:r>
    <w:r w:rsidRPr="00E12818">
      <w:rPr>
        <w:rFonts w:ascii="Arial" w:hAnsi="Arial" w:cs="Arial"/>
      </w:rPr>
      <w:fldChar w:fldCharType="separate"/>
    </w:r>
    <w:r w:rsidR="00D72A1A">
      <w:rPr>
        <w:rFonts w:ascii="Arial" w:hAnsi="Arial" w:cs="Arial"/>
        <w:noProof/>
      </w:rPr>
      <w:t>Glossary</w:t>
    </w:r>
    <w:r w:rsidRPr="00E12818">
      <w:rPr>
        <w:rFonts w:ascii="Arial" w:hAnsi="Arial" w:cs="Arial"/>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198B8" w14:textId="77777777" w:rsidR="007D03FA" w:rsidRDefault="007D03FA" w:rsidP="00356242">
    <w:pPr>
      <w:pStyle w:val="Header"/>
    </w:pPr>
    <w:r>
      <w:t>Planning Phase</w:t>
    </w:r>
  </w:p>
  <w:p w14:paraId="0D1C7DE0" w14:textId="77777777" w:rsidR="007D03FA" w:rsidRDefault="00AC0FCA" w:rsidP="00356242">
    <w:pPr>
      <w:pStyle w:val="Header"/>
    </w:pPr>
    <w:fldSimple w:instr=" STYLEREF  &quot;Heading 2&quot;  \* MERGEFORMAT ">
      <w:r w:rsidR="007D03FA" w:rsidRPr="005C22F1">
        <w:rPr>
          <w:b/>
          <w:bCs/>
          <w:noProof/>
        </w:rPr>
        <w:t>Glossary</w:t>
      </w:r>
    </w:fldSimple>
  </w:p>
  <w:p w14:paraId="1915A23D" w14:textId="77777777" w:rsidR="007D03FA" w:rsidRPr="00356242" w:rsidRDefault="007D03FA" w:rsidP="003562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2AF4"/>
    <w:multiLevelType w:val="hybridMultilevel"/>
    <w:tmpl w:val="6A12D114"/>
    <w:lvl w:ilvl="0" w:tplc="BFB8812E">
      <w:start w:val="1"/>
      <w:numFmt w:val="decimalZero"/>
      <w:pStyle w:val="FAM-Subsection"/>
      <w:lvlText w:val=".%1"/>
      <w:lvlJc w:val="left"/>
      <w:pPr>
        <w:tabs>
          <w:tab w:val="num" w:pos="1440"/>
        </w:tabs>
        <w:ind w:left="144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75E4DE3"/>
    <w:multiLevelType w:val="hybridMultilevel"/>
    <w:tmpl w:val="0B285B4C"/>
    <w:lvl w:ilvl="0" w:tplc="971462F0">
      <w:start w:val="1"/>
      <w:numFmt w:val="bullet"/>
      <w:pStyle w:val="FAM-Bullet-1"/>
      <w:lvlText w:val=""/>
      <w:lvlJc w:val="left"/>
      <w:pPr>
        <w:tabs>
          <w:tab w:val="num" w:pos="1800"/>
        </w:tabs>
        <w:ind w:left="180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8E7680"/>
    <w:multiLevelType w:val="hybridMultilevel"/>
    <w:tmpl w:val="12E2CC5A"/>
    <w:lvl w:ilvl="0" w:tplc="19ECC46C">
      <w:start w:val="1"/>
      <w:numFmt w:val="decimal"/>
      <w:pStyle w:val="FAM-Num-1"/>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D9531B4"/>
    <w:multiLevelType w:val="hybridMultilevel"/>
    <w:tmpl w:val="E1C842E0"/>
    <w:lvl w:ilvl="0" w:tplc="62164C80">
      <w:start w:val="1"/>
      <w:numFmt w:val="decimal"/>
      <w:pStyle w:val="FAM-Table-NumList"/>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18B16268"/>
    <w:multiLevelType w:val="hybridMultilevel"/>
    <w:tmpl w:val="7AD0E93A"/>
    <w:lvl w:ilvl="0" w:tplc="8A8EEB6C">
      <w:start w:val="1"/>
      <w:numFmt w:val="decimal"/>
      <w:pStyle w:val="ListNumber5"/>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19017E1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15:restartNumberingAfterBreak="0">
    <w:nsid w:val="1B1118B3"/>
    <w:multiLevelType w:val="hybridMultilevel"/>
    <w:tmpl w:val="20F80B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FA0557"/>
    <w:multiLevelType w:val="hybridMultilevel"/>
    <w:tmpl w:val="7DF22CEC"/>
    <w:lvl w:ilvl="0" w:tplc="764CA298">
      <w:start w:val="1"/>
      <w:numFmt w:val="bullet"/>
      <w:pStyle w:val="FAM-Table-Bulle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5C0AFB"/>
    <w:multiLevelType w:val="hybridMultilevel"/>
    <w:tmpl w:val="0350959C"/>
    <w:lvl w:ilvl="0" w:tplc="04090001">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5E1E0F"/>
    <w:multiLevelType w:val="multilevel"/>
    <w:tmpl w:val="067C4658"/>
    <w:lvl w:ilvl="0">
      <w:start w:val="1"/>
      <w:numFmt w:val="decimal"/>
      <w:pStyle w:val="FAM-out-1"/>
      <w:lvlText w:val="%1)"/>
      <w:lvlJc w:val="left"/>
      <w:pPr>
        <w:tabs>
          <w:tab w:val="num" w:pos="1800"/>
        </w:tabs>
        <w:ind w:left="1800" w:hanging="360"/>
      </w:pPr>
      <w:rPr>
        <w:rFonts w:hint="default"/>
      </w:rPr>
    </w:lvl>
    <w:lvl w:ilvl="1">
      <w:start w:val="1"/>
      <w:numFmt w:val="lowerLetter"/>
      <w:pStyle w:val="FAM-out-2"/>
      <w:lvlText w:val="%2)"/>
      <w:lvlJc w:val="left"/>
      <w:pPr>
        <w:tabs>
          <w:tab w:val="num" w:pos="2160"/>
        </w:tabs>
        <w:ind w:left="2160" w:hanging="360"/>
      </w:pPr>
      <w:rPr>
        <w:rFonts w:hint="default"/>
      </w:rPr>
    </w:lvl>
    <w:lvl w:ilvl="2">
      <w:start w:val="1"/>
      <w:numFmt w:val="lowerRoman"/>
      <w:pStyle w:val="FAM-out-3"/>
      <w:lvlText w:val="%3)"/>
      <w:lvlJc w:val="left"/>
      <w:pPr>
        <w:tabs>
          <w:tab w:val="num" w:pos="2520"/>
        </w:tabs>
        <w:ind w:left="2520" w:hanging="360"/>
      </w:pPr>
      <w:rPr>
        <w:rFonts w:hint="default"/>
      </w:rPr>
    </w:lvl>
    <w:lvl w:ilvl="3">
      <w:start w:val="1"/>
      <w:numFmt w:val="decimal"/>
      <w:pStyle w:val="FAM-out-4"/>
      <w:lvlText w:val="(%4)"/>
      <w:lvlJc w:val="left"/>
      <w:pPr>
        <w:tabs>
          <w:tab w:val="num" w:pos="2880"/>
        </w:tabs>
        <w:ind w:left="2880" w:hanging="360"/>
      </w:pPr>
      <w:rPr>
        <w:rFonts w:hint="default"/>
      </w:rPr>
    </w:lvl>
    <w:lvl w:ilvl="4">
      <w:start w:val="1"/>
      <w:numFmt w:val="lowerLetter"/>
      <w:pStyle w:val="FAM-out-5"/>
      <w:lvlText w:val="(%5)"/>
      <w:lvlJc w:val="left"/>
      <w:pPr>
        <w:tabs>
          <w:tab w:val="num" w:pos="3240"/>
        </w:tabs>
        <w:ind w:left="324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D142E2"/>
    <w:multiLevelType w:val="hybridMultilevel"/>
    <w:tmpl w:val="5A04A2EA"/>
    <w:lvl w:ilvl="0" w:tplc="BFAA68C2">
      <w:start w:val="1"/>
      <w:numFmt w:val="bullet"/>
      <w:pStyle w:val="FAM-Bullet-5"/>
      <w:lvlText w:val=""/>
      <w:lvlJc w:val="left"/>
      <w:pPr>
        <w:tabs>
          <w:tab w:val="num" w:pos="3240"/>
        </w:tabs>
        <w:ind w:left="324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3E3650C"/>
    <w:multiLevelType w:val="hybridMultilevel"/>
    <w:tmpl w:val="7A64C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F84330"/>
    <w:multiLevelType w:val="hybridMultilevel"/>
    <w:tmpl w:val="B164DB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6A57D1"/>
    <w:multiLevelType w:val="hybridMultilevel"/>
    <w:tmpl w:val="509498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5E3436"/>
    <w:multiLevelType w:val="hybridMultilevel"/>
    <w:tmpl w:val="EB24700E"/>
    <w:lvl w:ilvl="0" w:tplc="88F4851E">
      <w:start w:val="1"/>
      <w:numFmt w:val="decimal"/>
      <w:pStyle w:val="FAM-Num-2"/>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2966796E"/>
    <w:multiLevelType w:val="hybridMultilevel"/>
    <w:tmpl w:val="43824562"/>
    <w:lvl w:ilvl="0" w:tplc="FFFFFFFF">
      <w:start w:val="1"/>
      <w:numFmt w:val="decimal"/>
      <w:pStyle w:val="TableListNumbe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A496F43"/>
    <w:multiLevelType w:val="hybridMultilevel"/>
    <w:tmpl w:val="A4641C3E"/>
    <w:lvl w:ilvl="0" w:tplc="081091CA">
      <w:start w:val="1"/>
      <w:numFmt w:val="lowerLetter"/>
      <w:pStyle w:val="FAM-alpha-1"/>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B8F4805"/>
    <w:multiLevelType w:val="multilevel"/>
    <w:tmpl w:val="9D0ED0DC"/>
    <w:lvl w:ilvl="0">
      <w:start w:val="1"/>
      <w:numFmt w:val="decimal"/>
      <w:lvlText w:val="%1"/>
      <w:lvlJc w:val="left"/>
      <w:pPr>
        <w:tabs>
          <w:tab w:val="num" w:pos="360"/>
        </w:tabs>
        <w:ind w:left="360" w:hanging="360"/>
      </w:pPr>
      <w:rPr>
        <w:rFonts w:hint="default"/>
      </w:rPr>
    </w:lvl>
    <w:lvl w:ilvl="1">
      <w:start w:val="1"/>
      <w:numFmt w:val="bullet"/>
      <w:pStyle w:val="Status2-Task"/>
      <w:lvlText w:val=""/>
      <w:lvlJc w:val="left"/>
      <w:pPr>
        <w:tabs>
          <w:tab w:val="num" w:pos="720"/>
        </w:tabs>
        <w:ind w:left="720" w:hanging="360"/>
      </w:pPr>
      <w:rPr>
        <w:rFonts w:ascii="Symbol" w:hAnsi="Symbol" w:hint="default"/>
      </w:rPr>
    </w:lvl>
    <w:lvl w:ilvl="2">
      <w:start w:val="1"/>
      <w:numFmt w:val="bullet"/>
      <w:lvlRestart w:val="1"/>
      <w:pStyle w:val="Status3-Activity"/>
      <w:lvlText w:val=""/>
      <w:lvlJc w:val="left"/>
      <w:pPr>
        <w:tabs>
          <w:tab w:val="num" w:pos="1080"/>
        </w:tabs>
        <w:ind w:left="1080" w:hanging="360"/>
      </w:pPr>
      <w:rPr>
        <w:rFonts w:ascii="Symbol" w:hAnsi="Symbol" w:hint="default"/>
      </w:rPr>
    </w:lvl>
    <w:lvl w:ilvl="3">
      <w:start w:val="1"/>
      <w:numFmt w:val="bullet"/>
      <w:lvlRestart w:val="1"/>
      <w:pStyle w:val="Status4-SubActivity"/>
      <w:lvlText w:val=""/>
      <w:lvlJc w:val="left"/>
      <w:pPr>
        <w:tabs>
          <w:tab w:val="num" w:pos="1620"/>
        </w:tabs>
        <w:ind w:left="1620" w:hanging="360"/>
      </w:pPr>
      <w:rPr>
        <w:rFonts w:ascii="Wingdings" w:hAnsi="Wingdings" w:hint="default"/>
        <w:b w:val="0"/>
        <w:i w:val="0"/>
      </w:rPr>
    </w:lvl>
    <w:lvl w:ilvl="4">
      <w:start w:val="1"/>
      <w:numFmt w:val="bullet"/>
      <w:lvlRestart w:val="1"/>
      <w:pStyle w:val="Status5-Item"/>
      <w:lvlText w:val="○"/>
      <w:lvlJc w:val="left"/>
      <w:pPr>
        <w:tabs>
          <w:tab w:val="num" w:pos="1987"/>
        </w:tabs>
        <w:ind w:left="1987" w:hanging="360"/>
      </w:pPr>
      <w:rPr>
        <w:rFonts w:ascii="Times New Roman" w:hAnsi="Times New Roman" w:cs="Times New Roman" w:hint="default"/>
      </w:rPr>
    </w:lvl>
    <w:lvl w:ilvl="5">
      <w:start w:val="1"/>
      <w:numFmt w:val="none"/>
      <w:suff w:val="nothing"/>
      <w:lvlText w:val=""/>
      <w:lvlJc w:val="left"/>
      <w:pPr>
        <w:ind w:left="1080" w:firstLine="0"/>
      </w:pPr>
      <w:rPr>
        <w:rFonts w:hint="default"/>
      </w:rPr>
    </w:lvl>
    <w:lvl w:ilvl="6">
      <w:start w:val="1"/>
      <w:numFmt w:val="none"/>
      <w:suff w:val="nothing"/>
      <w:lvlText w:val=""/>
      <w:lvlJc w:val="left"/>
      <w:pPr>
        <w:ind w:left="1080" w:firstLine="0"/>
      </w:pPr>
      <w:rPr>
        <w:rFonts w:hint="default"/>
      </w:rPr>
    </w:lvl>
    <w:lvl w:ilvl="7">
      <w:start w:val="1"/>
      <w:numFmt w:val="none"/>
      <w:suff w:val="nothing"/>
      <w:lvlText w:val=""/>
      <w:lvlJc w:val="left"/>
      <w:pPr>
        <w:ind w:left="1080" w:firstLine="0"/>
      </w:pPr>
      <w:rPr>
        <w:rFonts w:hint="default"/>
      </w:rPr>
    </w:lvl>
    <w:lvl w:ilvl="8">
      <w:start w:val="1"/>
      <w:numFmt w:val="none"/>
      <w:suff w:val="nothing"/>
      <w:lvlText w:val=""/>
      <w:lvlJc w:val="left"/>
      <w:pPr>
        <w:ind w:left="1080" w:firstLine="0"/>
      </w:pPr>
      <w:rPr>
        <w:rFonts w:hint="default"/>
      </w:rPr>
    </w:lvl>
  </w:abstractNum>
  <w:abstractNum w:abstractNumId="18" w15:restartNumberingAfterBreak="0">
    <w:nsid w:val="2C1F4DCE"/>
    <w:multiLevelType w:val="hybridMultilevel"/>
    <w:tmpl w:val="62108828"/>
    <w:lvl w:ilvl="0" w:tplc="4E92BB70">
      <w:start w:val="1"/>
      <w:numFmt w:val="decimal"/>
      <w:pStyle w:val="FAM-Num-4"/>
      <w:lvlText w:val="%1."/>
      <w:lvlJc w:val="left"/>
      <w:pPr>
        <w:tabs>
          <w:tab w:val="num" w:pos="2880"/>
        </w:tabs>
        <w:ind w:left="28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2D4871D2"/>
    <w:multiLevelType w:val="hybridMultilevel"/>
    <w:tmpl w:val="BEEE42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CA20E8"/>
    <w:multiLevelType w:val="hybridMultilevel"/>
    <w:tmpl w:val="2A266198"/>
    <w:lvl w:ilvl="0" w:tplc="2F30A604">
      <w:start w:val="1"/>
      <w:numFmt w:val="decimal"/>
      <w:pStyle w:val="FAM-Num-3"/>
      <w:lvlText w:val="%1."/>
      <w:lvlJc w:val="left"/>
      <w:pPr>
        <w:tabs>
          <w:tab w:val="num" w:pos="2520"/>
        </w:tabs>
        <w:ind w:left="25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8095DB0"/>
    <w:multiLevelType w:val="hybridMultilevel"/>
    <w:tmpl w:val="1B6C55B0"/>
    <w:lvl w:ilvl="0" w:tplc="6BA05DFE">
      <w:start w:val="1"/>
      <w:numFmt w:val="bullet"/>
      <w:pStyle w:val="FAM-Table-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9B45E5A"/>
    <w:multiLevelType w:val="hybridMultilevel"/>
    <w:tmpl w:val="AEAEC398"/>
    <w:lvl w:ilvl="0" w:tplc="531E3BE4">
      <w:start w:val="1"/>
      <w:numFmt w:val="lowerLetter"/>
      <w:pStyle w:val="FAM-alpha-3"/>
      <w:lvlText w:val="%1."/>
      <w:lvlJc w:val="left"/>
      <w:pPr>
        <w:tabs>
          <w:tab w:val="num" w:pos="2520"/>
        </w:tabs>
        <w:ind w:left="25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3E755C2E"/>
    <w:multiLevelType w:val="hybridMultilevel"/>
    <w:tmpl w:val="2F5AF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C23FBC"/>
    <w:multiLevelType w:val="hybridMultilevel"/>
    <w:tmpl w:val="5F6ADED6"/>
    <w:lvl w:ilvl="0" w:tplc="5A24AE70">
      <w:start w:val="1"/>
      <w:numFmt w:val="bullet"/>
      <w:pStyle w:val="FAM-Bullet-2"/>
      <w:lvlText w:val=""/>
      <w:lvlJc w:val="left"/>
      <w:pPr>
        <w:tabs>
          <w:tab w:val="num" w:pos="2160"/>
        </w:tabs>
        <w:ind w:left="21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454D80"/>
    <w:multiLevelType w:val="multilevel"/>
    <w:tmpl w:val="E5A805F6"/>
    <w:lvl w:ilvl="0">
      <w:start w:val="1"/>
      <w:numFmt w:val="decimal"/>
      <w:pStyle w:val="FAM-Table-outline"/>
      <w:lvlText w:val="%1)"/>
      <w:lvlJc w:val="left"/>
      <w:pPr>
        <w:tabs>
          <w:tab w:val="num" w:pos="576"/>
        </w:tabs>
        <w:ind w:left="576" w:hanging="576"/>
      </w:pPr>
      <w:rPr>
        <w:rFonts w:hint="default"/>
      </w:rPr>
    </w:lvl>
    <w:lvl w:ilvl="1">
      <w:start w:val="1"/>
      <w:numFmt w:val="lowerLetter"/>
      <w:pStyle w:val="FAM-Table-outline2"/>
      <w:lvlText w:val="%2)"/>
      <w:lvlJc w:val="left"/>
      <w:pPr>
        <w:tabs>
          <w:tab w:val="num" w:pos="1152"/>
        </w:tabs>
        <w:ind w:left="1152" w:hanging="576"/>
      </w:pPr>
      <w:rPr>
        <w:rFonts w:hint="default"/>
      </w:rPr>
    </w:lvl>
    <w:lvl w:ilvl="2">
      <w:start w:val="1"/>
      <w:numFmt w:val="lowerRoman"/>
      <w:pStyle w:val="FAM-Table-outline3"/>
      <w:lvlText w:val="%3)"/>
      <w:lvlJc w:val="left"/>
      <w:pPr>
        <w:tabs>
          <w:tab w:val="num" w:pos="1728"/>
        </w:tabs>
        <w:ind w:left="1728" w:hanging="576"/>
      </w:pPr>
      <w:rPr>
        <w:rFonts w:hint="default"/>
      </w:rPr>
    </w:lvl>
    <w:lvl w:ilvl="3">
      <w:start w:val="1"/>
      <w:numFmt w:val="decimal"/>
      <w:pStyle w:val="FAM-Table-outline4"/>
      <w:lvlText w:val="(%4)"/>
      <w:lvlJc w:val="left"/>
      <w:pPr>
        <w:tabs>
          <w:tab w:val="num" w:pos="2304"/>
        </w:tabs>
        <w:ind w:left="2304" w:hanging="576"/>
      </w:pPr>
      <w:rPr>
        <w:rFonts w:hint="default"/>
      </w:rPr>
    </w:lvl>
    <w:lvl w:ilvl="4">
      <w:start w:val="1"/>
      <w:numFmt w:val="lowerLetter"/>
      <w:pStyle w:val="FAM-Table-outline5"/>
      <w:lvlText w:val="(%5)"/>
      <w:lvlJc w:val="left"/>
      <w:pPr>
        <w:tabs>
          <w:tab w:val="num" w:pos="2880"/>
        </w:tabs>
        <w:ind w:left="2880" w:hanging="576"/>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52F54248"/>
    <w:multiLevelType w:val="hybridMultilevel"/>
    <w:tmpl w:val="21C0354E"/>
    <w:lvl w:ilvl="0" w:tplc="D0EA5DC4">
      <w:start w:val="1"/>
      <w:numFmt w:val="lowerLetter"/>
      <w:pStyle w:val="FAM-alpha-5"/>
      <w:lvlText w:val="%1."/>
      <w:lvlJc w:val="left"/>
      <w:pPr>
        <w:tabs>
          <w:tab w:val="num" w:pos="3240"/>
        </w:tabs>
        <w:ind w:left="324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28" w15:restartNumberingAfterBreak="0">
    <w:nsid w:val="63D235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4143001"/>
    <w:multiLevelType w:val="hybridMultilevel"/>
    <w:tmpl w:val="20B4E012"/>
    <w:lvl w:ilvl="0" w:tplc="9D203A18">
      <w:start w:val="1"/>
      <w:numFmt w:val="bullet"/>
      <w:pStyle w:val="FAM-Bullet-4"/>
      <w:lvlText w:val=""/>
      <w:lvlJc w:val="left"/>
      <w:pPr>
        <w:tabs>
          <w:tab w:val="num" w:pos="2880"/>
        </w:tabs>
        <w:ind w:left="288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645F4D62"/>
    <w:multiLevelType w:val="hybridMultilevel"/>
    <w:tmpl w:val="BC9A1270"/>
    <w:lvl w:ilvl="0" w:tplc="8CEE1FD0">
      <w:start w:val="1"/>
      <w:numFmt w:val="bullet"/>
      <w:pStyle w:val="FAM-Bullet-3"/>
      <w:lvlText w:val=""/>
      <w:lvlJc w:val="left"/>
      <w:pPr>
        <w:tabs>
          <w:tab w:val="num" w:pos="2520"/>
        </w:tabs>
        <w:ind w:left="25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64E9180D"/>
    <w:multiLevelType w:val="hybridMultilevel"/>
    <w:tmpl w:val="AB56B36C"/>
    <w:lvl w:ilvl="0" w:tplc="26AAB232">
      <w:start w:val="1"/>
      <w:numFmt w:val="lowerLetter"/>
      <w:pStyle w:val="FAM-Table-alpha-list"/>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7835011"/>
    <w:multiLevelType w:val="hybridMultilevel"/>
    <w:tmpl w:val="D2AE1C12"/>
    <w:lvl w:ilvl="0" w:tplc="7CF681C4">
      <w:start w:val="1"/>
      <w:numFmt w:val="decimal"/>
      <w:pStyle w:val="FAM-Num-5"/>
      <w:lvlText w:val="%1."/>
      <w:lvlJc w:val="left"/>
      <w:pPr>
        <w:tabs>
          <w:tab w:val="num" w:pos="3240"/>
        </w:tabs>
        <w:ind w:left="324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15:restartNumberingAfterBreak="0">
    <w:nsid w:val="6C9F5229"/>
    <w:multiLevelType w:val="hybridMultilevel"/>
    <w:tmpl w:val="59FA6862"/>
    <w:lvl w:ilvl="0" w:tplc="3D205B3E">
      <w:start w:val="1"/>
      <w:numFmt w:val="lowerLetter"/>
      <w:pStyle w:val="FAM-alpha-4"/>
      <w:lvlText w:val="%1."/>
      <w:lvlJc w:val="left"/>
      <w:pPr>
        <w:tabs>
          <w:tab w:val="num" w:pos="2880"/>
        </w:tabs>
        <w:ind w:left="28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15:restartNumberingAfterBreak="0">
    <w:nsid w:val="7367075E"/>
    <w:multiLevelType w:val="hybridMultilevel"/>
    <w:tmpl w:val="9D845988"/>
    <w:lvl w:ilvl="0" w:tplc="895892F2">
      <w:start w:val="1"/>
      <w:numFmt w:val="lowerLetter"/>
      <w:pStyle w:val="FAM-alpha-2"/>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15:restartNumberingAfterBreak="0">
    <w:nsid w:val="793C4995"/>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28"/>
  </w:num>
  <w:num w:numId="3">
    <w:abstractNumId w:val="35"/>
  </w:num>
  <w:num w:numId="4">
    <w:abstractNumId w:val="34"/>
  </w:num>
  <w:num w:numId="5">
    <w:abstractNumId w:val="22"/>
  </w:num>
  <w:num w:numId="6">
    <w:abstractNumId w:val="33"/>
  </w:num>
  <w:num w:numId="7">
    <w:abstractNumId w:val="26"/>
  </w:num>
  <w:num w:numId="8">
    <w:abstractNumId w:val="1"/>
  </w:num>
  <w:num w:numId="9">
    <w:abstractNumId w:val="24"/>
  </w:num>
  <w:num w:numId="10">
    <w:abstractNumId w:val="30"/>
  </w:num>
  <w:num w:numId="11">
    <w:abstractNumId w:val="29"/>
  </w:num>
  <w:num w:numId="12">
    <w:abstractNumId w:val="10"/>
  </w:num>
  <w:num w:numId="13">
    <w:abstractNumId w:val="2"/>
  </w:num>
  <w:num w:numId="14">
    <w:abstractNumId w:val="14"/>
  </w:num>
  <w:num w:numId="15">
    <w:abstractNumId w:val="20"/>
  </w:num>
  <w:num w:numId="16">
    <w:abstractNumId w:val="18"/>
  </w:num>
  <w:num w:numId="17">
    <w:abstractNumId w:val="32"/>
  </w:num>
  <w:num w:numId="18">
    <w:abstractNumId w:val="9"/>
  </w:num>
  <w:num w:numId="19">
    <w:abstractNumId w:val="0"/>
  </w:num>
  <w:num w:numId="20">
    <w:abstractNumId w:val="31"/>
  </w:num>
  <w:num w:numId="21">
    <w:abstractNumId w:val="21"/>
  </w:num>
  <w:num w:numId="22">
    <w:abstractNumId w:val="3"/>
  </w:num>
  <w:num w:numId="23">
    <w:abstractNumId w:val="25"/>
  </w:num>
  <w:num w:numId="24">
    <w:abstractNumId w:val="4"/>
  </w:num>
  <w:num w:numId="25">
    <w:abstractNumId w:val="27"/>
  </w:num>
  <w:num w:numId="26">
    <w:abstractNumId w:val="16"/>
  </w:num>
  <w:num w:numId="27">
    <w:abstractNumId w:val="7"/>
  </w:num>
  <w:num w:numId="28">
    <w:abstractNumId w:val="6"/>
  </w:num>
  <w:num w:numId="29">
    <w:abstractNumId w:val="12"/>
  </w:num>
  <w:num w:numId="30">
    <w:abstractNumId w:val="19"/>
  </w:num>
  <w:num w:numId="31">
    <w:abstractNumId w:val="23"/>
  </w:num>
  <w:num w:numId="32">
    <w:abstractNumId w:val="8"/>
  </w:num>
  <w:num w:numId="33">
    <w:abstractNumId w:val="15"/>
  </w:num>
  <w:num w:numId="34">
    <w:abstractNumId w:val="17"/>
  </w:num>
  <w:num w:numId="35">
    <w:abstractNumId w:val="13"/>
  </w:num>
  <w:num w:numId="36">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1"/>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405"/>
    <w:rsid w:val="00002149"/>
    <w:rsid w:val="000047AB"/>
    <w:rsid w:val="00007EFD"/>
    <w:rsid w:val="00016C4F"/>
    <w:rsid w:val="00017FE7"/>
    <w:rsid w:val="0002121E"/>
    <w:rsid w:val="00024400"/>
    <w:rsid w:val="00035490"/>
    <w:rsid w:val="000517E1"/>
    <w:rsid w:val="000564EC"/>
    <w:rsid w:val="0005676A"/>
    <w:rsid w:val="00056AB1"/>
    <w:rsid w:val="0006757D"/>
    <w:rsid w:val="0007437F"/>
    <w:rsid w:val="0007708C"/>
    <w:rsid w:val="00080CAB"/>
    <w:rsid w:val="00083D0E"/>
    <w:rsid w:val="00087BAC"/>
    <w:rsid w:val="000A6246"/>
    <w:rsid w:val="000B263B"/>
    <w:rsid w:val="000B2B89"/>
    <w:rsid w:val="000B5958"/>
    <w:rsid w:val="000B5AFA"/>
    <w:rsid w:val="000B773E"/>
    <w:rsid w:val="000C71E6"/>
    <w:rsid w:val="000D1820"/>
    <w:rsid w:val="001035D5"/>
    <w:rsid w:val="00106E80"/>
    <w:rsid w:val="001269A0"/>
    <w:rsid w:val="00127D5F"/>
    <w:rsid w:val="001308B3"/>
    <w:rsid w:val="00135300"/>
    <w:rsid w:val="00136DC2"/>
    <w:rsid w:val="0014018C"/>
    <w:rsid w:val="00141681"/>
    <w:rsid w:val="00142DEA"/>
    <w:rsid w:val="00144FEA"/>
    <w:rsid w:val="00151CE6"/>
    <w:rsid w:val="00152540"/>
    <w:rsid w:val="001578F9"/>
    <w:rsid w:val="001604BE"/>
    <w:rsid w:val="00164DD7"/>
    <w:rsid w:val="00166622"/>
    <w:rsid w:val="001679CE"/>
    <w:rsid w:val="0017207B"/>
    <w:rsid w:val="0017208A"/>
    <w:rsid w:val="00175331"/>
    <w:rsid w:val="00190D1E"/>
    <w:rsid w:val="00192BAC"/>
    <w:rsid w:val="001955AC"/>
    <w:rsid w:val="001A1C51"/>
    <w:rsid w:val="001A2A26"/>
    <w:rsid w:val="001A32C5"/>
    <w:rsid w:val="001A44B5"/>
    <w:rsid w:val="001B62A6"/>
    <w:rsid w:val="001C3B15"/>
    <w:rsid w:val="001C667D"/>
    <w:rsid w:val="001C74A5"/>
    <w:rsid w:val="001D6454"/>
    <w:rsid w:val="001E3A8F"/>
    <w:rsid w:val="001F11BA"/>
    <w:rsid w:val="001F622C"/>
    <w:rsid w:val="001F6648"/>
    <w:rsid w:val="002041F5"/>
    <w:rsid w:val="002043E3"/>
    <w:rsid w:val="0021496F"/>
    <w:rsid w:val="00223952"/>
    <w:rsid w:val="00232F04"/>
    <w:rsid w:val="00247F68"/>
    <w:rsid w:val="00251D3C"/>
    <w:rsid w:val="00252F4B"/>
    <w:rsid w:val="00266CD8"/>
    <w:rsid w:val="002714DC"/>
    <w:rsid w:val="00274C28"/>
    <w:rsid w:val="0027559B"/>
    <w:rsid w:val="0027595E"/>
    <w:rsid w:val="002775D6"/>
    <w:rsid w:val="002861F9"/>
    <w:rsid w:val="00291714"/>
    <w:rsid w:val="002A04F8"/>
    <w:rsid w:val="002A0635"/>
    <w:rsid w:val="002A1E1B"/>
    <w:rsid w:val="002A4061"/>
    <w:rsid w:val="002A6349"/>
    <w:rsid w:val="002B1AE3"/>
    <w:rsid w:val="002B2050"/>
    <w:rsid w:val="002B3A0F"/>
    <w:rsid w:val="002B5A24"/>
    <w:rsid w:val="002C0134"/>
    <w:rsid w:val="002C1854"/>
    <w:rsid w:val="002C5229"/>
    <w:rsid w:val="002D1352"/>
    <w:rsid w:val="002D22A1"/>
    <w:rsid w:val="002D501F"/>
    <w:rsid w:val="002D6B63"/>
    <w:rsid w:val="002E0462"/>
    <w:rsid w:val="002E28BD"/>
    <w:rsid w:val="002E3E3E"/>
    <w:rsid w:val="002E7CFD"/>
    <w:rsid w:val="002F3F08"/>
    <w:rsid w:val="00301603"/>
    <w:rsid w:val="00316C0D"/>
    <w:rsid w:val="00316C1B"/>
    <w:rsid w:val="00320AD8"/>
    <w:rsid w:val="0032294F"/>
    <w:rsid w:val="00323979"/>
    <w:rsid w:val="00327B61"/>
    <w:rsid w:val="00340E7A"/>
    <w:rsid w:val="00345B8E"/>
    <w:rsid w:val="00356242"/>
    <w:rsid w:val="0036052D"/>
    <w:rsid w:val="00364E24"/>
    <w:rsid w:val="003653B9"/>
    <w:rsid w:val="003724A6"/>
    <w:rsid w:val="0037254C"/>
    <w:rsid w:val="00376B90"/>
    <w:rsid w:val="00384CE1"/>
    <w:rsid w:val="003874C8"/>
    <w:rsid w:val="00393DC6"/>
    <w:rsid w:val="003A2CF3"/>
    <w:rsid w:val="003A6F68"/>
    <w:rsid w:val="003B5D72"/>
    <w:rsid w:val="003C2D74"/>
    <w:rsid w:val="003D406B"/>
    <w:rsid w:val="003F037A"/>
    <w:rsid w:val="003F0ED7"/>
    <w:rsid w:val="003F1725"/>
    <w:rsid w:val="003F1E3D"/>
    <w:rsid w:val="003F1FD4"/>
    <w:rsid w:val="003F4601"/>
    <w:rsid w:val="003F646E"/>
    <w:rsid w:val="003F7BF3"/>
    <w:rsid w:val="00401A39"/>
    <w:rsid w:val="004248F0"/>
    <w:rsid w:val="00425C27"/>
    <w:rsid w:val="00426918"/>
    <w:rsid w:val="00430DD2"/>
    <w:rsid w:val="00431F9A"/>
    <w:rsid w:val="00447336"/>
    <w:rsid w:val="00453A1F"/>
    <w:rsid w:val="00463DA6"/>
    <w:rsid w:val="00464B6D"/>
    <w:rsid w:val="00465B6E"/>
    <w:rsid w:val="00466819"/>
    <w:rsid w:val="004700F2"/>
    <w:rsid w:val="00473F3E"/>
    <w:rsid w:val="00496D48"/>
    <w:rsid w:val="004A0222"/>
    <w:rsid w:val="004A0AF6"/>
    <w:rsid w:val="004B18E8"/>
    <w:rsid w:val="004B2930"/>
    <w:rsid w:val="004B5F65"/>
    <w:rsid w:val="004C2171"/>
    <w:rsid w:val="004C42B1"/>
    <w:rsid w:val="004C6E48"/>
    <w:rsid w:val="004D2900"/>
    <w:rsid w:val="004D581B"/>
    <w:rsid w:val="004F1893"/>
    <w:rsid w:val="00511405"/>
    <w:rsid w:val="0051679B"/>
    <w:rsid w:val="00524FF6"/>
    <w:rsid w:val="0053341B"/>
    <w:rsid w:val="005351AC"/>
    <w:rsid w:val="0054283F"/>
    <w:rsid w:val="005441A5"/>
    <w:rsid w:val="00545B88"/>
    <w:rsid w:val="00551E0B"/>
    <w:rsid w:val="005602E7"/>
    <w:rsid w:val="0056264B"/>
    <w:rsid w:val="00571F6D"/>
    <w:rsid w:val="005722AE"/>
    <w:rsid w:val="005726BD"/>
    <w:rsid w:val="00581B54"/>
    <w:rsid w:val="00582433"/>
    <w:rsid w:val="005A297D"/>
    <w:rsid w:val="005A2BE4"/>
    <w:rsid w:val="005A47F3"/>
    <w:rsid w:val="005A7A1A"/>
    <w:rsid w:val="005B16A2"/>
    <w:rsid w:val="005C22F1"/>
    <w:rsid w:val="005C5702"/>
    <w:rsid w:val="005D1BDC"/>
    <w:rsid w:val="005D4148"/>
    <w:rsid w:val="005D6314"/>
    <w:rsid w:val="005D76FF"/>
    <w:rsid w:val="005E7218"/>
    <w:rsid w:val="005F0BAB"/>
    <w:rsid w:val="005F16F0"/>
    <w:rsid w:val="005F6F8E"/>
    <w:rsid w:val="00604949"/>
    <w:rsid w:val="00606484"/>
    <w:rsid w:val="006126C1"/>
    <w:rsid w:val="006134D0"/>
    <w:rsid w:val="0061486C"/>
    <w:rsid w:val="00620DC8"/>
    <w:rsid w:val="006244FD"/>
    <w:rsid w:val="00624C55"/>
    <w:rsid w:val="0062722B"/>
    <w:rsid w:val="006375DC"/>
    <w:rsid w:val="00652BDE"/>
    <w:rsid w:val="00656B06"/>
    <w:rsid w:val="00663C56"/>
    <w:rsid w:val="006645BF"/>
    <w:rsid w:val="00664DBA"/>
    <w:rsid w:val="00666678"/>
    <w:rsid w:val="006830FC"/>
    <w:rsid w:val="00687AFE"/>
    <w:rsid w:val="00690F70"/>
    <w:rsid w:val="00695C59"/>
    <w:rsid w:val="006978F2"/>
    <w:rsid w:val="006A33F2"/>
    <w:rsid w:val="006C1154"/>
    <w:rsid w:val="006C3445"/>
    <w:rsid w:val="006C661D"/>
    <w:rsid w:val="006C76AD"/>
    <w:rsid w:val="006D0D44"/>
    <w:rsid w:val="006D3249"/>
    <w:rsid w:val="006D769E"/>
    <w:rsid w:val="006E0EA7"/>
    <w:rsid w:val="006F0791"/>
    <w:rsid w:val="006F15FE"/>
    <w:rsid w:val="006F1ACD"/>
    <w:rsid w:val="006F7920"/>
    <w:rsid w:val="0070120D"/>
    <w:rsid w:val="00703510"/>
    <w:rsid w:val="007233EB"/>
    <w:rsid w:val="007246A8"/>
    <w:rsid w:val="00727750"/>
    <w:rsid w:val="00732C0F"/>
    <w:rsid w:val="007375F8"/>
    <w:rsid w:val="00744503"/>
    <w:rsid w:val="00765BEC"/>
    <w:rsid w:val="00767965"/>
    <w:rsid w:val="00767D56"/>
    <w:rsid w:val="00772F92"/>
    <w:rsid w:val="0077452F"/>
    <w:rsid w:val="00784145"/>
    <w:rsid w:val="00784B8B"/>
    <w:rsid w:val="007920AE"/>
    <w:rsid w:val="00792ECA"/>
    <w:rsid w:val="00793B6C"/>
    <w:rsid w:val="007A390D"/>
    <w:rsid w:val="007B20AA"/>
    <w:rsid w:val="007C476E"/>
    <w:rsid w:val="007C7891"/>
    <w:rsid w:val="007D03FA"/>
    <w:rsid w:val="007D4DD0"/>
    <w:rsid w:val="007E374C"/>
    <w:rsid w:val="007E4045"/>
    <w:rsid w:val="007F3B96"/>
    <w:rsid w:val="007F5179"/>
    <w:rsid w:val="007F798C"/>
    <w:rsid w:val="00810D4E"/>
    <w:rsid w:val="008132D1"/>
    <w:rsid w:val="008165F1"/>
    <w:rsid w:val="0081668B"/>
    <w:rsid w:val="00816CE4"/>
    <w:rsid w:val="00816DF5"/>
    <w:rsid w:val="00822650"/>
    <w:rsid w:val="00825242"/>
    <w:rsid w:val="00826052"/>
    <w:rsid w:val="00830239"/>
    <w:rsid w:val="008407C5"/>
    <w:rsid w:val="00841778"/>
    <w:rsid w:val="008467A8"/>
    <w:rsid w:val="00846ABC"/>
    <w:rsid w:val="0084798C"/>
    <w:rsid w:val="00851812"/>
    <w:rsid w:val="00854206"/>
    <w:rsid w:val="00855090"/>
    <w:rsid w:val="00862B57"/>
    <w:rsid w:val="00867921"/>
    <w:rsid w:val="0087030A"/>
    <w:rsid w:val="00873354"/>
    <w:rsid w:val="00873801"/>
    <w:rsid w:val="00874D9C"/>
    <w:rsid w:val="00876394"/>
    <w:rsid w:val="00880D1E"/>
    <w:rsid w:val="0088326A"/>
    <w:rsid w:val="00893938"/>
    <w:rsid w:val="008969F0"/>
    <w:rsid w:val="008A0DFD"/>
    <w:rsid w:val="008C047C"/>
    <w:rsid w:val="008C18EA"/>
    <w:rsid w:val="008C1F21"/>
    <w:rsid w:val="008C7DB1"/>
    <w:rsid w:val="008D182D"/>
    <w:rsid w:val="008D3CF2"/>
    <w:rsid w:val="008D5F47"/>
    <w:rsid w:val="008E33EE"/>
    <w:rsid w:val="008F2306"/>
    <w:rsid w:val="008F6F1C"/>
    <w:rsid w:val="009009B0"/>
    <w:rsid w:val="009016A3"/>
    <w:rsid w:val="00904AD9"/>
    <w:rsid w:val="009111B8"/>
    <w:rsid w:val="009145BB"/>
    <w:rsid w:val="00917938"/>
    <w:rsid w:val="009242F6"/>
    <w:rsid w:val="00924D9D"/>
    <w:rsid w:val="00925DD4"/>
    <w:rsid w:val="0093424A"/>
    <w:rsid w:val="00935704"/>
    <w:rsid w:val="00937ADA"/>
    <w:rsid w:val="009406F7"/>
    <w:rsid w:val="00944344"/>
    <w:rsid w:val="009579E0"/>
    <w:rsid w:val="009651B5"/>
    <w:rsid w:val="0097216D"/>
    <w:rsid w:val="00974231"/>
    <w:rsid w:val="00977E5E"/>
    <w:rsid w:val="009870EB"/>
    <w:rsid w:val="00995F92"/>
    <w:rsid w:val="00996CD0"/>
    <w:rsid w:val="00996FA9"/>
    <w:rsid w:val="00997056"/>
    <w:rsid w:val="009A17F4"/>
    <w:rsid w:val="009A55CD"/>
    <w:rsid w:val="009A5804"/>
    <w:rsid w:val="009A6DA8"/>
    <w:rsid w:val="009B0554"/>
    <w:rsid w:val="009B48C9"/>
    <w:rsid w:val="009C5CD7"/>
    <w:rsid w:val="009C76F5"/>
    <w:rsid w:val="009D62B1"/>
    <w:rsid w:val="009E6171"/>
    <w:rsid w:val="009E6E7C"/>
    <w:rsid w:val="009F4273"/>
    <w:rsid w:val="009F5238"/>
    <w:rsid w:val="00A03505"/>
    <w:rsid w:val="00A25250"/>
    <w:rsid w:val="00A25DEE"/>
    <w:rsid w:val="00A337D4"/>
    <w:rsid w:val="00A372BC"/>
    <w:rsid w:val="00A37C33"/>
    <w:rsid w:val="00A41A2A"/>
    <w:rsid w:val="00A42BC1"/>
    <w:rsid w:val="00A46FF7"/>
    <w:rsid w:val="00A527E7"/>
    <w:rsid w:val="00A65352"/>
    <w:rsid w:val="00A74998"/>
    <w:rsid w:val="00A751AE"/>
    <w:rsid w:val="00A769F3"/>
    <w:rsid w:val="00A76A17"/>
    <w:rsid w:val="00A76A1B"/>
    <w:rsid w:val="00A86F20"/>
    <w:rsid w:val="00A945F9"/>
    <w:rsid w:val="00A94EA5"/>
    <w:rsid w:val="00A950B8"/>
    <w:rsid w:val="00A96EA8"/>
    <w:rsid w:val="00A971E5"/>
    <w:rsid w:val="00AA5198"/>
    <w:rsid w:val="00AC0FCA"/>
    <w:rsid w:val="00AC28D7"/>
    <w:rsid w:val="00AC5CB0"/>
    <w:rsid w:val="00AD000C"/>
    <w:rsid w:val="00AD120B"/>
    <w:rsid w:val="00AD5D48"/>
    <w:rsid w:val="00AE4118"/>
    <w:rsid w:val="00AE6D47"/>
    <w:rsid w:val="00AF0328"/>
    <w:rsid w:val="00AF716A"/>
    <w:rsid w:val="00B00650"/>
    <w:rsid w:val="00B00CF2"/>
    <w:rsid w:val="00B03FC8"/>
    <w:rsid w:val="00B06F24"/>
    <w:rsid w:val="00B121BE"/>
    <w:rsid w:val="00B13FCB"/>
    <w:rsid w:val="00B164CA"/>
    <w:rsid w:val="00B16BAB"/>
    <w:rsid w:val="00B309FC"/>
    <w:rsid w:val="00B30BAD"/>
    <w:rsid w:val="00B32147"/>
    <w:rsid w:val="00B36A3F"/>
    <w:rsid w:val="00B44E05"/>
    <w:rsid w:val="00B45397"/>
    <w:rsid w:val="00B53809"/>
    <w:rsid w:val="00B5448B"/>
    <w:rsid w:val="00B54BD4"/>
    <w:rsid w:val="00B63BA7"/>
    <w:rsid w:val="00B64BE3"/>
    <w:rsid w:val="00B6555D"/>
    <w:rsid w:val="00B72EF2"/>
    <w:rsid w:val="00B97D51"/>
    <w:rsid w:val="00BA059A"/>
    <w:rsid w:val="00BA7B46"/>
    <w:rsid w:val="00BB5B43"/>
    <w:rsid w:val="00BB7A5F"/>
    <w:rsid w:val="00BC574D"/>
    <w:rsid w:val="00BD6F6E"/>
    <w:rsid w:val="00BE26D8"/>
    <w:rsid w:val="00BE4809"/>
    <w:rsid w:val="00BF3128"/>
    <w:rsid w:val="00C0065F"/>
    <w:rsid w:val="00C056A5"/>
    <w:rsid w:val="00C159C9"/>
    <w:rsid w:val="00C23C55"/>
    <w:rsid w:val="00C3696B"/>
    <w:rsid w:val="00C4333D"/>
    <w:rsid w:val="00C51BBC"/>
    <w:rsid w:val="00C51E46"/>
    <w:rsid w:val="00C6424C"/>
    <w:rsid w:val="00C64474"/>
    <w:rsid w:val="00C70D4C"/>
    <w:rsid w:val="00C72014"/>
    <w:rsid w:val="00C72886"/>
    <w:rsid w:val="00C73211"/>
    <w:rsid w:val="00C766FE"/>
    <w:rsid w:val="00C76829"/>
    <w:rsid w:val="00C7723E"/>
    <w:rsid w:val="00C7785F"/>
    <w:rsid w:val="00C96D6C"/>
    <w:rsid w:val="00CA4C41"/>
    <w:rsid w:val="00CC0034"/>
    <w:rsid w:val="00CD14B4"/>
    <w:rsid w:val="00CD3117"/>
    <w:rsid w:val="00CD67AF"/>
    <w:rsid w:val="00CE35A1"/>
    <w:rsid w:val="00CE3717"/>
    <w:rsid w:val="00CE3B75"/>
    <w:rsid w:val="00CE5710"/>
    <w:rsid w:val="00CF45DA"/>
    <w:rsid w:val="00D108AF"/>
    <w:rsid w:val="00D15273"/>
    <w:rsid w:val="00D15C34"/>
    <w:rsid w:val="00D17239"/>
    <w:rsid w:val="00D2679E"/>
    <w:rsid w:val="00D37101"/>
    <w:rsid w:val="00D425C9"/>
    <w:rsid w:val="00D4505B"/>
    <w:rsid w:val="00D5232F"/>
    <w:rsid w:val="00D52881"/>
    <w:rsid w:val="00D618B9"/>
    <w:rsid w:val="00D72A1A"/>
    <w:rsid w:val="00D747FC"/>
    <w:rsid w:val="00D76BAB"/>
    <w:rsid w:val="00D845AA"/>
    <w:rsid w:val="00D85B09"/>
    <w:rsid w:val="00D97122"/>
    <w:rsid w:val="00DA7BFC"/>
    <w:rsid w:val="00DB16AF"/>
    <w:rsid w:val="00DB316B"/>
    <w:rsid w:val="00DB35AC"/>
    <w:rsid w:val="00DC3016"/>
    <w:rsid w:val="00DD0EA5"/>
    <w:rsid w:val="00DD3F92"/>
    <w:rsid w:val="00DE15C7"/>
    <w:rsid w:val="00DE2D15"/>
    <w:rsid w:val="00DF1E55"/>
    <w:rsid w:val="00DF2A5C"/>
    <w:rsid w:val="00DF2CD4"/>
    <w:rsid w:val="00DF7084"/>
    <w:rsid w:val="00E01E16"/>
    <w:rsid w:val="00E0762A"/>
    <w:rsid w:val="00E10C62"/>
    <w:rsid w:val="00E12818"/>
    <w:rsid w:val="00E15333"/>
    <w:rsid w:val="00E32E2E"/>
    <w:rsid w:val="00E3565F"/>
    <w:rsid w:val="00E4192F"/>
    <w:rsid w:val="00E51818"/>
    <w:rsid w:val="00E5209B"/>
    <w:rsid w:val="00E70784"/>
    <w:rsid w:val="00E73418"/>
    <w:rsid w:val="00E77FEB"/>
    <w:rsid w:val="00E839FF"/>
    <w:rsid w:val="00E926CA"/>
    <w:rsid w:val="00E96051"/>
    <w:rsid w:val="00EA59C2"/>
    <w:rsid w:val="00EB3046"/>
    <w:rsid w:val="00EB5BE3"/>
    <w:rsid w:val="00EC25F0"/>
    <w:rsid w:val="00EC6E62"/>
    <w:rsid w:val="00ED7032"/>
    <w:rsid w:val="00ED719A"/>
    <w:rsid w:val="00EE469E"/>
    <w:rsid w:val="00EE5B43"/>
    <w:rsid w:val="00EE68EF"/>
    <w:rsid w:val="00EF5196"/>
    <w:rsid w:val="00EF6DF9"/>
    <w:rsid w:val="00F0707C"/>
    <w:rsid w:val="00F2016D"/>
    <w:rsid w:val="00F2096F"/>
    <w:rsid w:val="00F30986"/>
    <w:rsid w:val="00F35750"/>
    <w:rsid w:val="00F37BCB"/>
    <w:rsid w:val="00F420F5"/>
    <w:rsid w:val="00F44E12"/>
    <w:rsid w:val="00F45582"/>
    <w:rsid w:val="00F53EAE"/>
    <w:rsid w:val="00F57A73"/>
    <w:rsid w:val="00F62251"/>
    <w:rsid w:val="00F6689C"/>
    <w:rsid w:val="00F737C0"/>
    <w:rsid w:val="00F76421"/>
    <w:rsid w:val="00F76A58"/>
    <w:rsid w:val="00F877E5"/>
    <w:rsid w:val="00F933D0"/>
    <w:rsid w:val="00FA0031"/>
    <w:rsid w:val="00FA4215"/>
    <w:rsid w:val="00FA6794"/>
    <w:rsid w:val="00FB6061"/>
    <w:rsid w:val="00FB6737"/>
    <w:rsid w:val="00FC6214"/>
    <w:rsid w:val="00FC7B43"/>
    <w:rsid w:val="00FD3351"/>
    <w:rsid w:val="00FE5B31"/>
    <w:rsid w:val="00FF2CBA"/>
    <w:rsid w:val="00FF7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1D63D"/>
  <w15:docId w15:val="{65746F71-4D05-4E61-B509-08D044A6A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rsid w:val="006F0791"/>
    <w:rPr>
      <w:rFonts w:ascii="ITCCentury Book" w:hAnsi="ITCCentury Book"/>
      <w:color w:val="000000"/>
      <w:sz w:val="24"/>
      <w:szCs w:val="24"/>
    </w:rPr>
  </w:style>
  <w:style w:type="paragraph" w:styleId="Heading1">
    <w:name w:val="heading 1"/>
    <w:basedOn w:val="Normal"/>
    <w:next w:val="BodyText"/>
    <w:qFormat/>
    <w:rsid w:val="006F0791"/>
    <w:pPr>
      <w:keepNext/>
      <w:keepLines/>
      <w:spacing w:before="240" w:after="240"/>
      <w:outlineLvl w:val="0"/>
    </w:pPr>
    <w:rPr>
      <w:b/>
      <w:bCs/>
      <w:kern w:val="32"/>
      <w:sz w:val="36"/>
      <w:szCs w:val="36"/>
    </w:rPr>
  </w:style>
  <w:style w:type="paragraph" w:styleId="Heading2">
    <w:name w:val="heading 2"/>
    <w:basedOn w:val="Normal"/>
    <w:next w:val="BodyText"/>
    <w:qFormat/>
    <w:rsid w:val="006F0791"/>
    <w:pPr>
      <w:keepNext/>
      <w:keepLines/>
      <w:spacing w:before="120" w:after="120"/>
      <w:outlineLvl w:val="1"/>
    </w:pPr>
    <w:rPr>
      <w:kern w:val="32"/>
      <w:sz w:val="32"/>
      <w:szCs w:val="32"/>
      <w:u w:val="single"/>
    </w:rPr>
  </w:style>
  <w:style w:type="paragraph" w:styleId="Heading3">
    <w:name w:val="heading 3"/>
    <w:basedOn w:val="Normal"/>
    <w:next w:val="BodyText"/>
    <w:qFormat/>
    <w:rsid w:val="006F0791"/>
    <w:pPr>
      <w:keepNext/>
      <w:keepLines/>
      <w:spacing w:before="120" w:after="120"/>
      <w:outlineLvl w:val="2"/>
    </w:pPr>
    <w:rPr>
      <w:b/>
      <w:bCs/>
      <w:kern w:val="32"/>
      <w:sz w:val="28"/>
      <w:szCs w:val="28"/>
    </w:rPr>
  </w:style>
  <w:style w:type="paragraph" w:styleId="Heading4">
    <w:name w:val="heading 4"/>
    <w:basedOn w:val="Normal"/>
    <w:next w:val="BodyText"/>
    <w:qFormat/>
    <w:rsid w:val="006F0791"/>
    <w:pPr>
      <w:keepNext/>
      <w:keepLines/>
      <w:spacing w:before="120" w:after="120"/>
      <w:outlineLvl w:val="3"/>
    </w:pPr>
    <w:rPr>
      <w:kern w:val="32"/>
      <w:u w:val="single"/>
    </w:rPr>
  </w:style>
  <w:style w:type="paragraph" w:styleId="Heading5">
    <w:name w:val="heading 5"/>
    <w:basedOn w:val="Heading4"/>
    <w:next w:val="BodyText"/>
    <w:qFormat/>
    <w:rsid w:val="006F0791"/>
    <w:pPr>
      <w:ind w:left="720"/>
      <w:outlineLvl w:val="4"/>
    </w:pPr>
    <w:rPr>
      <w:i/>
      <w:iCs/>
    </w:rPr>
  </w:style>
  <w:style w:type="paragraph" w:styleId="Heading6">
    <w:name w:val="heading 6"/>
    <w:basedOn w:val="Heading5"/>
    <w:next w:val="BodyText"/>
    <w:qFormat/>
    <w:rsid w:val="006F0791"/>
    <w:pPr>
      <w:outlineLvl w:val="5"/>
    </w:pPr>
    <w:rPr>
      <w:i w:val="0"/>
      <w:iCs w:val="0"/>
      <w:u w:val="none"/>
    </w:rPr>
  </w:style>
  <w:style w:type="paragraph" w:styleId="Heading7">
    <w:name w:val="heading 7"/>
    <w:basedOn w:val="Heading6"/>
    <w:next w:val="BodyText"/>
    <w:qFormat/>
    <w:rsid w:val="006F0791"/>
    <w:pPr>
      <w:ind w:left="1080"/>
      <w:outlineLvl w:val="6"/>
    </w:pPr>
    <w:rPr>
      <w:i/>
      <w:iCs/>
      <w:u w:val="single"/>
    </w:rPr>
  </w:style>
  <w:style w:type="paragraph" w:styleId="Heading8">
    <w:name w:val="heading 8"/>
    <w:basedOn w:val="Heading7"/>
    <w:next w:val="BodyText"/>
    <w:qFormat/>
    <w:rsid w:val="006F0791"/>
    <w:pPr>
      <w:outlineLvl w:val="7"/>
    </w:pPr>
    <w:rPr>
      <w:i w:val="0"/>
      <w:iCs w:val="0"/>
      <w:u w:val="none"/>
    </w:rPr>
  </w:style>
  <w:style w:type="paragraph" w:styleId="Heading9">
    <w:name w:val="heading 9"/>
    <w:basedOn w:val="Heading8"/>
    <w:next w:val="BodyText"/>
    <w:qFormat/>
    <w:rsid w:val="006F0791"/>
    <w:pPr>
      <w:keepNext w:val="0"/>
      <w:keepLines w:val="0"/>
      <w:ind w:left="0"/>
      <w:outlineLvl w:val="8"/>
    </w:pPr>
    <w:rPr>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rsid w:val="006F0791"/>
    <w:rPr>
      <w:vertAlign w:val="superscript"/>
    </w:rPr>
  </w:style>
  <w:style w:type="paragraph" w:styleId="Header">
    <w:name w:val="header"/>
    <w:basedOn w:val="Normal"/>
    <w:rsid w:val="006F0791"/>
    <w:pPr>
      <w:pBdr>
        <w:top w:val="single" w:sz="18" w:space="1" w:color="auto"/>
        <w:bottom w:val="single" w:sz="18" w:space="1" w:color="auto"/>
      </w:pBdr>
      <w:tabs>
        <w:tab w:val="center" w:pos="4680"/>
        <w:tab w:val="right" w:pos="9360"/>
      </w:tabs>
      <w:spacing w:after="120"/>
    </w:pPr>
  </w:style>
  <w:style w:type="paragraph" w:styleId="Footer">
    <w:name w:val="footer"/>
    <w:basedOn w:val="Normal"/>
    <w:rsid w:val="006F0791"/>
    <w:pPr>
      <w:pBdr>
        <w:top w:val="single" w:sz="18" w:space="1" w:color="auto"/>
      </w:pBdr>
      <w:tabs>
        <w:tab w:val="center" w:pos="4680"/>
        <w:tab w:val="right" w:pos="9360"/>
      </w:tabs>
      <w:spacing w:after="120"/>
    </w:pPr>
  </w:style>
  <w:style w:type="paragraph" w:styleId="BodyText">
    <w:name w:val="Body Text"/>
    <w:link w:val="BodyTextChar"/>
    <w:rsid w:val="006F0791"/>
    <w:pPr>
      <w:spacing w:after="120"/>
    </w:pPr>
    <w:rPr>
      <w:rFonts w:ascii="ITCCentury Book" w:hAnsi="ITCCentury Book" w:cs="ITCCentury Book"/>
      <w:color w:val="000000"/>
      <w:sz w:val="24"/>
      <w:szCs w:val="24"/>
    </w:rPr>
  </w:style>
  <w:style w:type="paragraph" w:customStyle="1" w:styleId="FAM-Subsection">
    <w:name w:val="FAM-Subsection"/>
    <w:link w:val="FAM-SubsectionChar"/>
    <w:rsid w:val="006F0791"/>
    <w:pPr>
      <w:numPr>
        <w:numId w:val="19"/>
      </w:numPr>
      <w:spacing w:after="120"/>
      <w:outlineLvl w:val="2"/>
    </w:pPr>
    <w:rPr>
      <w:rFonts w:ascii="ITCCentury Book" w:hAnsi="ITCCentury Book" w:cs="ITCCentury Book"/>
      <w:color w:val="000000"/>
      <w:sz w:val="24"/>
      <w:szCs w:val="24"/>
    </w:rPr>
  </w:style>
  <w:style w:type="character" w:customStyle="1" w:styleId="BodyTextChar">
    <w:name w:val="Body Text Char"/>
    <w:basedOn w:val="DefaultParagraphFont"/>
    <w:link w:val="BodyText"/>
    <w:rsid w:val="006F0791"/>
    <w:rPr>
      <w:rFonts w:ascii="ITCCentury Book" w:hAnsi="ITCCentury Book" w:cs="ITCCentury Book"/>
      <w:color w:val="000000"/>
      <w:sz w:val="24"/>
      <w:szCs w:val="24"/>
      <w:lang w:val="en-US" w:eastAsia="en-US" w:bidi="ar-SA"/>
    </w:rPr>
  </w:style>
  <w:style w:type="character" w:customStyle="1" w:styleId="FAM-SubsectionChar">
    <w:name w:val="FAM-Subsection Char"/>
    <w:basedOn w:val="BodyTextChar"/>
    <w:link w:val="FAM-Subsection"/>
    <w:rsid w:val="006F0791"/>
    <w:rPr>
      <w:rFonts w:ascii="ITCCentury Book" w:hAnsi="ITCCentury Book" w:cs="ITCCentury Book"/>
      <w:color w:val="000000"/>
      <w:sz w:val="24"/>
      <w:szCs w:val="24"/>
      <w:lang w:val="en-US" w:eastAsia="en-US" w:bidi="ar-SA"/>
    </w:rPr>
  </w:style>
  <w:style w:type="paragraph" w:styleId="ListBullet">
    <w:name w:val="List Bullet"/>
    <w:basedOn w:val="BodyText"/>
    <w:autoRedefine/>
    <w:semiHidden/>
    <w:rsid w:val="006F0791"/>
  </w:style>
  <w:style w:type="paragraph" w:styleId="ListBullet2">
    <w:name w:val="List Bullet 2"/>
    <w:basedOn w:val="BodyText"/>
    <w:autoRedefine/>
    <w:semiHidden/>
    <w:rsid w:val="006F0791"/>
  </w:style>
  <w:style w:type="paragraph" w:styleId="ListBullet3">
    <w:name w:val="List Bullet 3"/>
    <w:basedOn w:val="BodyText"/>
    <w:autoRedefine/>
    <w:semiHidden/>
    <w:rsid w:val="006F0791"/>
  </w:style>
  <w:style w:type="paragraph" w:styleId="ListBullet4">
    <w:name w:val="List Bullet 4"/>
    <w:basedOn w:val="BodyText"/>
    <w:autoRedefine/>
    <w:semiHidden/>
    <w:rsid w:val="006F0791"/>
  </w:style>
  <w:style w:type="paragraph" w:styleId="ListBullet5">
    <w:name w:val="List Bullet 5"/>
    <w:basedOn w:val="BodyText"/>
    <w:autoRedefine/>
    <w:semiHidden/>
    <w:rsid w:val="006F0791"/>
  </w:style>
  <w:style w:type="paragraph" w:styleId="BodyText2">
    <w:name w:val="Body Text 2"/>
    <w:basedOn w:val="BodyText"/>
    <w:semiHidden/>
    <w:rsid w:val="006F0791"/>
    <w:pPr>
      <w:spacing w:line="360" w:lineRule="auto"/>
    </w:pPr>
  </w:style>
  <w:style w:type="paragraph" w:styleId="BodyText3">
    <w:name w:val="Body Text 3"/>
    <w:basedOn w:val="BodyText"/>
    <w:semiHidden/>
    <w:rsid w:val="006F0791"/>
    <w:pPr>
      <w:spacing w:line="480" w:lineRule="auto"/>
    </w:pPr>
  </w:style>
  <w:style w:type="paragraph" w:styleId="BodyTextIndent">
    <w:name w:val="Body Text Indent"/>
    <w:basedOn w:val="BodyText"/>
    <w:semiHidden/>
    <w:rsid w:val="006F0791"/>
    <w:pPr>
      <w:spacing w:line="360" w:lineRule="auto"/>
    </w:pPr>
  </w:style>
  <w:style w:type="paragraph" w:styleId="BodyTextIndent2">
    <w:name w:val="Body Text Indent 2"/>
    <w:basedOn w:val="BodyText"/>
    <w:semiHidden/>
    <w:rsid w:val="006F0791"/>
    <w:pPr>
      <w:ind w:left="720"/>
    </w:pPr>
  </w:style>
  <w:style w:type="paragraph" w:styleId="BodyTextIndent3">
    <w:name w:val="Body Text Indent 3"/>
    <w:basedOn w:val="BodyText"/>
    <w:semiHidden/>
    <w:rsid w:val="006F0791"/>
    <w:pPr>
      <w:ind w:left="1080"/>
    </w:pPr>
  </w:style>
  <w:style w:type="paragraph" w:styleId="BodyTextFirstIndent">
    <w:name w:val="Body Text First Indent"/>
    <w:basedOn w:val="BodyText"/>
    <w:semiHidden/>
    <w:rsid w:val="006F0791"/>
    <w:pPr>
      <w:ind w:firstLine="360"/>
    </w:pPr>
  </w:style>
  <w:style w:type="paragraph" w:styleId="BodyTextFirstIndent2">
    <w:name w:val="Body Text First Indent 2"/>
    <w:basedOn w:val="BodyTextIndent"/>
    <w:semiHidden/>
    <w:rsid w:val="006F0791"/>
    <w:pPr>
      <w:ind w:firstLine="360"/>
    </w:pPr>
  </w:style>
  <w:style w:type="paragraph" w:styleId="Closing">
    <w:name w:val="Closing"/>
    <w:basedOn w:val="BodyText"/>
    <w:semiHidden/>
    <w:rsid w:val="006F0791"/>
    <w:pPr>
      <w:ind w:left="4320"/>
    </w:pPr>
  </w:style>
  <w:style w:type="paragraph" w:styleId="Date">
    <w:name w:val="Date"/>
    <w:basedOn w:val="BodyText"/>
    <w:next w:val="Normal"/>
    <w:semiHidden/>
    <w:rsid w:val="006F0791"/>
  </w:style>
  <w:style w:type="paragraph" w:styleId="EnvelopeAddress">
    <w:name w:val="envelope address"/>
    <w:basedOn w:val="Normal"/>
    <w:semiHidden/>
    <w:rsid w:val="006F0791"/>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6F0791"/>
    <w:rPr>
      <w:rFonts w:ascii="Arial" w:hAnsi="Arial" w:cs="Arial"/>
      <w:sz w:val="20"/>
      <w:szCs w:val="20"/>
    </w:rPr>
  </w:style>
  <w:style w:type="character" w:styleId="FollowedHyperlink">
    <w:name w:val="FollowedHyperlink"/>
    <w:basedOn w:val="DefaultParagraphFont"/>
    <w:semiHidden/>
    <w:rsid w:val="006F0791"/>
    <w:rPr>
      <w:color w:val="800080"/>
      <w:u w:val="single"/>
    </w:rPr>
  </w:style>
  <w:style w:type="paragraph" w:styleId="NormalWeb">
    <w:name w:val="Normal (Web)"/>
    <w:basedOn w:val="Normal"/>
    <w:semiHidden/>
    <w:rsid w:val="006F0791"/>
  </w:style>
  <w:style w:type="paragraph" w:styleId="NormalIndent">
    <w:name w:val="Normal Indent"/>
    <w:basedOn w:val="Normal"/>
    <w:semiHidden/>
    <w:rsid w:val="006F0791"/>
    <w:pPr>
      <w:ind w:left="720"/>
    </w:pPr>
  </w:style>
  <w:style w:type="table" w:styleId="Table3Deffects1">
    <w:name w:val="Table 3D effects 1"/>
    <w:basedOn w:val="TableNormal"/>
    <w:semiHidden/>
    <w:rsid w:val="006F0791"/>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F0791"/>
    <w:tblPr>
      <w:tblStyleRowBandSize w:val="1"/>
      <w:tblInd w:w="0" w:type="nil"/>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F0791"/>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F0791"/>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F0791"/>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F0791"/>
    <w:rPr>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F0791"/>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F0791"/>
    <w:rPr>
      <w:color w:val="FFFFFF"/>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F0791"/>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F0791"/>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F0791"/>
    <w:rPr>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F0791"/>
    <w:rPr>
      <w:b/>
      <w:bCs/>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F0791"/>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F0791"/>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F0791"/>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F0791"/>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F0791"/>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F079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6F0791"/>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F0791"/>
    <w:tblPr>
      <w:tblInd w:w="0" w:type="nil"/>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F0791"/>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F0791"/>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F0791"/>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F0791"/>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F0791"/>
    <w:rPr>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F0791"/>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F0791"/>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F0791"/>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F0791"/>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F0791"/>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F0791"/>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F0791"/>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F0791"/>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F0791"/>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F0791"/>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F0791"/>
    <w:tblPr>
      <w:tblInd w:w="0" w:type="nil"/>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F0791"/>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F0791"/>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F0791"/>
    <w:tblPr>
      <w:tblStyleRowBandSize w:val="1"/>
      <w:tblInd w:w="0" w:type="nil"/>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F0791"/>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F079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F0791"/>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F0791"/>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F0791"/>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BlockText">
    <w:name w:val="Block Text"/>
    <w:basedOn w:val="Normal"/>
    <w:semiHidden/>
    <w:rsid w:val="006F0791"/>
    <w:pPr>
      <w:spacing w:after="120"/>
      <w:ind w:left="1440" w:right="1440"/>
    </w:pPr>
  </w:style>
  <w:style w:type="paragraph" w:styleId="E-mailSignature">
    <w:name w:val="E-mail Signature"/>
    <w:basedOn w:val="Normal"/>
    <w:semiHidden/>
    <w:rsid w:val="006F0791"/>
  </w:style>
  <w:style w:type="character" w:styleId="Emphasis">
    <w:name w:val="Emphasis"/>
    <w:basedOn w:val="DefaultParagraphFont"/>
    <w:qFormat/>
    <w:rsid w:val="006F0791"/>
    <w:rPr>
      <w:i/>
      <w:iCs/>
    </w:rPr>
  </w:style>
  <w:style w:type="character" w:styleId="HTMLAcronym">
    <w:name w:val="HTML Acronym"/>
    <w:basedOn w:val="DefaultParagraphFont"/>
    <w:semiHidden/>
    <w:rsid w:val="006F0791"/>
  </w:style>
  <w:style w:type="paragraph" w:styleId="HTMLAddress">
    <w:name w:val="HTML Address"/>
    <w:basedOn w:val="Normal"/>
    <w:semiHidden/>
    <w:rsid w:val="006F0791"/>
    <w:rPr>
      <w:i/>
      <w:iCs/>
    </w:rPr>
  </w:style>
  <w:style w:type="character" w:styleId="HTMLCite">
    <w:name w:val="HTML Cite"/>
    <w:basedOn w:val="DefaultParagraphFont"/>
    <w:semiHidden/>
    <w:rsid w:val="006F0791"/>
    <w:rPr>
      <w:i/>
      <w:iCs/>
    </w:rPr>
  </w:style>
  <w:style w:type="character" w:styleId="HTMLCode">
    <w:name w:val="HTML Code"/>
    <w:basedOn w:val="DefaultParagraphFont"/>
    <w:semiHidden/>
    <w:rsid w:val="006F0791"/>
    <w:rPr>
      <w:rFonts w:ascii="Courier New" w:hAnsi="Courier New" w:cs="Courier New"/>
      <w:sz w:val="20"/>
      <w:szCs w:val="20"/>
    </w:rPr>
  </w:style>
  <w:style w:type="character" w:styleId="HTMLDefinition">
    <w:name w:val="HTML Definition"/>
    <w:basedOn w:val="DefaultParagraphFont"/>
    <w:semiHidden/>
    <w:rsid w:val="006F0791"/>
    <w:rPr>
      <w:i/>
      <w:iCs/>
    </w:rPr>
  </w:style>
  <w:style w:type="character" w:styleId="HTMLKeyboard">
    <w:name w:val="HTML Keyboard"/>
    <w:basedOn w:val="DefaultParagraphFont"/>
    <w:semiHidden/>
    <w:rsid w:val="006F0791"/>
    <w:rPr>
      <w:rFonts w:ascii="Courier New" w:hAnsi="Courier New" w:cs="Courier New"/>
      <w:sz w:val="20"/>
      <w:szCs w:val="20"/>
    </w:rPr>
  </w:style>
  <w:style w:type="paragraph" w:styleId="HTMLPreformatted">
    <w:name w:val="HTML Preformatted"/>
    <w:basedOn w:val="Normal"/>
    <w:semiHidden/>
    <w:rsid w:val="006F0791"/>
    <w:rPr>
      <w:rFonts w:ascii="Courier New" w:hAnsi="Courier New" w:cs="Courier New"/>
      <w:sz w:val="20"/>
      <w:szCs w:val="20"/>
    </w:rPr>
  </w:style>
  <w:style w:type="character" w:styleId="HTMLSample">
    <w:name w:val="HTML Sample"/>
    <w:basedOn w:val="DefaultParagraphFont"/>
    <w:semiHidden/>
    <w:rsid w:val="006F0791"/>
    <w:rPr>
      <w:rFonts w:ascii="Courier New" w:hAnsi="Courier New" w:cs="Courier New"/>
    </w:rPr>
  </w:style>
  <w:style w:type="character" w:styleId="HTMLTypewriter">
    <w:name w:val="HTML Typewriter"/>
    <w:basedOn w:val="DefaultParagraphFont"/>
    <w:semiHidden/>
    <w:rsid w:val="006F0791"/>
    <w:rPr>
      <w:rFonts w:ascii="Courier New" w:hAnsi="Courier New" w:cs="Courier New"/>
      <w:sz w:val="20"/>
      <w:szCs w:val="20"/>
    </w:rPr>
  </w:style>
  <w:style w:type="character" w:styleId="HTMLVariable">
    <w:name w:val="HTML Variable"/>
    <w:basedOn w:val="DefaultParagraphFont"/>
    <w:semiHidden/>
    <w:rsid w:val="006F0791"/>
    <w:rPr>
      <w:i/>
      <w:iCs/>
    </w:rPr>
  </w:style>
  <w:style w:type="character" w:styleId="Hyperlink">
    <w:name w:val="Hyperlink"/>
    <w:basedOn w:val="DefaultParagraphFont"/>
    <w:semiHidden/>
    <w:rsid w:val="006F0791"/>
    <w:rPr>
      <w:color w:val="0000FF"/>
      <w:u w:val="single"/>
    </w:rPr>
  </w:style>
  <w:style w:type="character" w:styleId="LineNumber">
    <w:name w:val="line number"/>
    <w:basedOn w:val="DefaultParagraphFont"/>
    <w:semiHidden/>
    <w:rsid w:val="006F0791"/>
  </w:style>
  <w:style w:type="paragraph" w:styleId="List">
    <w:name w:val="List"/>
    <w:basedOn w:val="BodyText"/>
    <w:semiHidden/>
    <w:rsid w:val="006F0791"/>
    <w:pPr>
      <w:ind w:left="360" w:hanging="360"/>
    </w:pPr>
  </w:style>
  <w:style w:type="paragraph" w:styleId="List2">
    <w:name w:val="List 2"/>
    <w:basedOn w:val="BodyText"/>
    <w:semiHidden/>
    <w:rsid w:val="006F0791"/>
    <w:pPr>
      <w:ind w:left="720" w:hanging="360"/>
    </w:pPr>
  </w:style>
  <w:style w:type="paragraph" w:styleId="List3">
    <w:name w:val="List 3"/>
    <w:basedOn w:val="BodyText"/>
    <w:semiHidden/>
    <w:rsid w:val="006F0791"/>
    <w:pPr>
      <w:ind w:left="1080" w:hanging="360"/>
    </w:pPr>
  </w:style>
  <w:style w:type="paragraph" w:styleId="List4">
    <w:name w:val="List 4"/>
    <w:basedOn w:val="BodyText"/>
    <w:semiHidden/>
    <w:rsid w:val="006F0791"/>
    <w:pPr>
      <w:ind w:left="1440" w:hanging="360"/>
    </w:pPr>
  </w:style>
  <w:style w:type="paragraph" w:styleId="List5">
    <w:name w:val="List 5"/>
    <w:basedOn w:val="BodyText"/>
    <w:semiHidden/>
    <w:rsid w:val="006F0791"/>
    <w:pPr>
      <w:ind w:left="1800" w:hanging="360"/>
    </w:pPr>
  </w:style>
  <w:style w:type="paragraph" w:styleId="ListContinue">
    <w:name w:val="List Continue"/>
    <w:basedOn w:val="BodyText"/>
    <w:semiHidden/>
    <w:rsid w:val="006F0791"/>
    <w:pPr>
      <w:ind w:left="360"/>
    </w:pPr>
  </w:style>
  <w:style w:type="paragraph" w:styleId="ListContinue2">
    <w:name w:val="List Continue 2"/>
    <w:basedOn w:val="BodyText"/>
    <w:semiHidden/>
    <w:rsid w:val="006F0791"/>
    <w:pPr>
      <w:ind w:left="720"/>
    </w:pPr>
  </w:style>
  <w:style w:type="paragraph" w:styleId="ListContinue3">
    <w:name w:val="List Continue 3"/>
    <w:basedOn w:val="BodyText"/>
    <w:semiHidden/>
    <w:rsid w:val="006F0791"/>
    <w:pPr>
      <w:ind w:left="1080"/>
    </w:pPr>
  </w:style>
  <w:style w:type="paragraph" w:styleId="ListContinue4">
    <w:name w:val="List Continue 4"/>
    <w:basedOn w:val="BodyText"/>
    <w:semiHidden/>
    <w:rsid w:val="006F0791"/>
    <w:pPr>
      <w:ind w:left="1440"/>
    </w:pPr>
  </w:style>
  <w:style w:type="paragraph" w:styleId="ListContinue5">
    <w:name w:val="List Continue 5"/>
    <w:basedOn w:val="BodyText"/>
    <w:semiHidden/>
    <w:rsid w:val="006F0791"/>
    <w:pPr>
      <w:ind w:left="1800"/>
    </w:pPr>
  </w:style>
  <w:style w:type="paragraph" w:styleId="ListNumber">
    <w:name w:val="List Number"/>
    <w:basedOn w:val="BodyText"/>
    <w:semiHidden/>
    <w:rsid w:val="006F0791"/>
  </w:style>
  <w:style w:type="paragraph" w:styleId="ListNumber2">
    <w:name w:val="List Number 2"/>
    <w:basedOn w:val="BodyText"/>
    <w:semiHidden/>
    <w:rsid w:val="006F0791"/>
  </w:style>
  <w:style w:type="paragraph" w:styleId="ListNumber3">
    <w:name w:val="List Number 3"/>
    <w:basedOn w:val="BodyText"/>
    <w:semiHidden/>
    <w:rsid w:val="006F0791"/>
  </w:style>
  <w:style w:type="paragraph" w:styleId="ListNumber4">
    <w:name w:val="List Number 4"/>
    <w:basedOn w:val="BodyText"/>
    <w:semiHidden/>
    <w:rsid w:val="006F0791"/>
  </w:style>
  <w:style w:type="paragraph" w:styleId="ListNumber5">
    <w:name w:val="List Number 5"/>
    <w:basedOn w:val="BodyText"/>
    <w:semiHidden/>
    <w:rsid w:val="006F0791"/>
    <w:pPr>
      <w:numPr>
        <w:numId w:val="24"/>
      </w:numPr>
    </w:pPr>
  </w:style>
  <w:style w:type="paragraph" w:styleId="Subtitle">
    <w:name w:val="Subtitle"/>
    <w:basedOn w:val="BodyText"/>
    <w:qFormat/>
    <w:rsid w:val="006F0791"/>
    <w:pPr>
      <w:keepNext/>
      <w:keepLines/>
      <w:spacing w:after="240"/>
      <w:jc w:val="center"/>
      <w:outlineLvl w:val="1"/>
    </w:pPr>
    <w:rPr>
      <w:sz w:val="48"/>
      <w:szCs w:val="48"/>
    </w:rPr>
  </w:style>
  <w:style w:type="paragraph" w:styleId="Title">
    <w:name w:val="Title"/>
    <w:basedOn w:val="BodyText"/>
    <w:next w:val="BodyText"/>
    <w:qFormat/>
    <w:rsid w:val="006F0791"/>
    <w:pPr>
      <w:keepNext/>
      <w:keepLines/>
      <w:spacing w:before="480" w:after="240"/>
      <w:jc w:val="center"/>
      <w:outlineLvl w:val="0"/>
    </w:pPr>
    <w:rPr>
      <w:b/>
      <w:bCs/>
      <w:kern w:val="28"/>
      <w:sz w:val="72"/>
      <w:szCs w:val="72"/>
    </w:rPr>
  </w:style>
  <w:style w:type="numbering" w:styleId="111111">
    <w:name w:val="Outline List 2"/>
    <w:basedOn w:val="NoList"/>
    <w:semiHidden/>
    <w:rsid w:val="006F0791"/>
    <w:pPr>
      <w:numPr>
        <w:numId w:val="1"/>
      </w:numPr>
    </w:pPr>
  </w:style>
  <w:style w:type="paragraph" w:styleId="MessageHeader">
    <w:name w:val="Message Header"/>
    <w:basedOn w:val="Normal"/>
    <w:semiHidden/>
    <w:rsid w:val="006F079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teHeading">
    <w:name w:val="Note Heading"/>
    <w:basedOn w:val="Normal"/>
    <w:next w:val="Normal"/>
    <w:semiHidden/>
    <w:rsid w:val="006F0791"/>
  </w:style>
  <w:style w:type="paragraph" w:styleId="PlainText">
    <w:name w:val="Plain Text"/>
    <w:basedOn w:val="Normal"/>
    <w:semiHidden/>
    <w:rsid w:val="006F0791"/>
    <w:rPr>
      <w:rFonts w:ascii="Courier New" w:hAnsi="Courier New" w:cs="Courier New"/>
      <w:sz w:val="20"/>
      <w:szCs w:val="20"/>
    </w:rPr>
  </w:style>
  <w:style w:type="paragraph" w:styleId="Salutation">
    <w:name w:val="Salutation"/>
    <w:basedOn w:val="Normal"/>
    <w:next w:val="Normal"/>
    <w:semiHidden/>
    <w:rsid w:val="006F0791"/>
  </w:style>
  <w:style w:type="paragraph" w:styleId="Signature">
    <w:name w:val="Signature"/>
    <w:basedOn w:val="Normal"/>
    <w:semiHidden/>
    <w:rsid w:val="006F0791"/>
    <w:pPr>
      <w:ind w:left="4320"/>
    </w:pPr>
  </w:style>
  <w:style w:type="character" w:styleId="Strong">
    <w:name w:val="Strong"/>
    <w:basedOn w:val="DefaultParagraphFont"/>
    <w:qFormat/>
    <w:rsid w:val="006F0791"/>
    <w:rPr>
      <w:b/>
      <w:bCs/>
    </w:rPr>
  </w:style>
  <w:style w:type="character" w:styleId="PageNumber">
    <w:name w:val="page number"/>
    <w:basedOn w:val="DefaultParagraphFont"/>
    <w:semiHidden/>
    <w:rsid w:val="006F0791"/>
  </w:style>
  <w:style w:type="numbering" w:styleId="1ai">
    <w:name w:val="Outline List 1"/>
    <w:basedOn w:val="NoList"/>
    <w:semiHidden/>
    <w:rsid w:val="006F0791"/>
    <w:pPr>
      <w:numPr>
        <w:numId w:val="2"/>
      </w:numPr>
    </w:pPr>
  </w:style>
  <w:style w:type="paragraph" w:styleId="Caption">
    <w:name w:val="caption"/>
    <w:basedOn w:val="BodyText"/>
    <w:next w:val="BodyText"/>
    <w:qFormat/>
    <w:rsid w:val="006F0791"/>
    <w:pPr>
      <w:keepNext/>
      <w:keepLines/>
      <w:spacing w:before="120"/>
    </w:pPr>
    <w:rPr>
      <w:b/>
      <w:bCs/>
    </w:rPr>
  </w:style>
  <w:style w:type="paragraph" w:customStyle="1" w:styleId="ListOutline">
    <w:name w:val="List Outline"/>
    <w:semiHidden/>
    <w:rsid w:val="006F0791"/>
    <w:pPr>
      <w:numPr>
        <w:numId w:val="25"/>
      </w:numPr>
      <w:spacing w:after="120"/>
    </w:pPr>
    <w:rPr>
      <w:color w:val="000000"/>
      <w:sz w:val="24"/>
      <w:szCs w:val="24"/>
    </w:rPr>
  </w:style>
  <w:style w:type="paragraph" w:customStyle="1" w:styleId="ListOutline2">
    <w:name w:val="List Outline 2"/>
    <w:basedOn w:val="ListOutline"/>
    <w:semiHidden/>
    <w:rsid w:val="006F0791"/>
    <w:pPr>
      <w:numPr>
        <w:ilvl w:val="1"/>
      </w:numPr>
    </w:pPr>
  </w:style>
  <w:style w:type="paragraph" w:customStyle="1" w:styleId="ListOutline3">
    <w:name w:val="List Outline 3"/>
    <w:basedOn w:val="ListOutline2"/>
    <w:semiHidden/>
    <w:rsid w:val="006F0791"/>
    <w:pPr>
      <w:numPr>
        <w:ilvl w:val="2"/>
      </w:numPr>
    </w:pPr>
  </w:style>
  <w:style w:type="paragraph" w:customStyle="1" w:styleId="ReportSubtitle">
    <w:name w:val="Report Subtitle"/>
    <w:basedOn w:val="BodyText"/>
    <w:semiHidden/>
    <w:rsid w:val="006F0791"/>
    <w:pPr>
      <w:keepLines/>
      <w:spacing w:before="120" w:after="240"/>
      <w:outlineLvl w:val="0"/>
    </w:pPr>
    <w:rPr>
      <w:sz w:val="56"/>
      <w:szCs w:val="56"/>
    </w:rPr>
  </w:style>
  <w:style w:type="paragraph" w:customStyle="1" w:styleId="ReportTitle">
    <w:name w:val="Report Title"/>
    <w:basedOn w:val="BodyText"/>
    <w:next w:val="BodyText"/>
    <w:semiHidden/>
    <w:rsid w:val="006F0791"/>
    <w:pPr>
      <w:keepLines/>
      <w:spacing w:before="240" w:after="240"/>
      <w:outlineLvl w:val="0"/>
    </w:pPr>
    <w:rPr>
      <w:b/>
      <w:bCs/>
      <w:caps/>
      <w:sz w:val="72"/>
      <w:szCs w:val="72"/>
    </w:rPr>
  </w:style>
  <w:style w:type="paragraph" w:customStyle="1" w:styleId="ListOutline4">
    <w:name w:val="List Outline 4"/>
    <w:basedOn w:val="ListOutline3"/>
    <w:semiHidden/>
    <w:rsid w:val="006F0791"/>
    <w:pPr>
      <w:numPr>
        <w:ilvl w:val="3"/>
      </w:numPr>
    </w:pPr>
  </w:style>
  <w:style w:type="paragraph" w:customStyle="1" w:styleId="ListOutline5">
    <w:name w:val="List Outline 5"/>
    <w:basedOn w:val="ListOutline4"/>
    <w:semiHidden/>
    <w:rsid w:val="006F0791"/>
    <w:pPr>
      <w:numPr>
        <w:ilvl w:val="4"/>
      </w:numPr>
    </w:pPr>
  </w:style>
  <w:style w:type="paragraph" w:customStyle="1" w:styleId="ListOutline6">
    <w:name w:val="List Outline 6"/>
    <w:basedOn w:val="ListOutline5"/>
    <w:semiHidden/>
    <w:rsid w:val="006F0791"/>
    <w:pPr>
      <w:numPr>
        <w:ilvl w:val="5"/>
      </w:numPr>
    </w:pPr>
  </w:style>
  <w:style w:type="paragraph" w:customStyle="1" w:styleId="ListOutline7">
    <w:name w:val="List Outline 7"/>
    <w:basedOn w:val="ListOutline6"/>
    <w:semiHidden/>
    <w:rsid w:val="006F0791"/>
    <w:pPr>
      <w:numPr>
        <w:ilvl w:val="6"/>
      </w:numPr>
    </w:pPr>
  </w:style>
  <w:style w:type="paragraph" w:customStyle="1" w:styleId="ListOutline8">
    <w:name w:val="List Outline 8"/>
    <w:basedOn w:val="ListOutline7"/>
    <w:semiHidden/>
    <w:rsid w:val="006F0791"/>
    <w:pPr>
      <w:numPr>
        <w:ilvl w:val="7"/>
      </w:numPr>
    </w:pPr>
  </w:style>
  <w:style w:type="paragraph" w:customStyle="1" w:styleId="ListOutline9">
    <w:name w:val="List Outline 9"/>
    <w:basedOn w:val="ListOutline8"/>
    <w:semiHidden/>
    <w:rsid w:val="006F0791"/>
    <w:pPr>
      <w:numPr>
        <w:ilvl w:val="8"/>
      </w:numPr>
    </w:pPr>
  </w:style>
  <w:style w:type="paragraph" w:styleId="TOC1">
    <w:name w:val="toc 1"/>
    <w:basedOn w:val="BodyText"/>
    <w:next w:val="BodyText"/>
    <w:autoRedefine/>
    <w:semiHidden/>
    <w:rsid w:val="006F0791"/>
    <w:rPr>
      <w:b/>
      <w:bCs/>
      <w:sz w:val="32"/>
      <w:szCs w:val="32"/>
    </w:rPr>
  </w:style>
  <w:style w:type="paragraph" w:styleId="TOC2">
    <w:name w:val="toc 2"/>
    <w:basedOn w:val="BodyText"/>
    <w:next w:val="BodyText"/>
    <w:autoRedefine/>
    <w:semiHidden/>
    <w:rsid w:val="006F0791"/>
    <w:pPr>
      <w:spacing w:after="60"/>
      <w:ind w:left="245"/>
    </w:pPr>
    <w:rPr>
      <w:b/>
      <w:bCs/>
      <w:sz w:val="28"/>
      <w:szCs w:val="28"/>
    </w:rPr>
  </w:style>
  <w:style w:type="paragraph" w:styleId="TOC3">
    <w:name w:val="toc 3"/>
    <w:basedOn w:val="BodyText"/>
    <w:next w:val="BodyText"/>
    <w:autoRedefine/>
    <w:semiHidden/>
    <w:rsid w:val="006F0791"/>
    <w:pPr>
      <w:spacing w:after="60"/>
      <w:ind w:left="475"/>
    </w:pPr>
  </w:style>
  <w:style w:type="paragraph" w:styleId="TOC4">
    <w:name w:val="toc 4"/>
    <w:basedOn w:val="BodyText"/>
    <w:next w:val="BodyText"/>
    <w:autoRedefine/>
    <w:semiHidden/>
    <w:rsid w:val="006F0791"/>
    <w:pPr>
      <w:spacing w:after="60"/>
      <w:ind w:left="720"/>
    </w:pPr>
    <w:rPr>
      <w:i/>
      <w:iCs/>
      <w:sz w:val="20"/>
      <w:szCs w:val="20"/>
    </w:rPr>
  </w:style>
  <w:style w:type="paragraph" w:styleId="BalloonText">
    <w:name w:val="Balloon Text"/>
    <w:basedOn w:val="Normal"/>
    <w:semiHidden/>
    <w:rsid w:val="006F0791"/>
    <w:rPr>
      <w:rFonts w:ascii="Tahoma" w:hAnsi="Tahoma" w:cs="Tahoma"/>
      <w:sz w:val="16"/>
      <w:szCs w:val="16"/>
    </w:rPr>
  </w:style>
  <w:style w:type="character" w:styleId="CommentReference">
    <w:name w:val="annotation reference"/>
    <w:basedOn w:val="DefaultParagraphFont"/>
    <w:semiHidden/>
    <w:rsid w:val="006F0791"/>
    <w:rPr>
      <w:sz w:val="16"/>
      <w:szCs w:val="16"/>
    </w:rPr>
  </w:style>
  <w:style w:type="paragraph" w:styleId="CommentText">
    <w:name w:val="annotation text"/>
    <w:basedOn w:val="Normal"/>
    <w:link w:val="CommentTextChar"/>
    <w:semiHidden/>
    <w:rsid w:val="006F0791"/>
    <w:rPr>
      <w:sz w:val="20"/>
      <w:szCs w:val="20"/>
    </w:rPr>
  </w:style>
  <w:style w:type="paragraph" w:styleId="CommentSubject">
    <w:name w:val="annotation subject"/>
    <w:basedOn w:val="CommentText"/>
    <w:next w:val="CommentText"/>
    <w:semiHidden/>
    <w:rsid w:val="006F0791"/>
    <w:rPr>
      <w:b/>
      <w:bCs/>
    </w:rPr>
  </w:style>
  <w:style w:type="numbering" w:styleId="ArticleSection">
    <w:name w:val="Outline List 3"/>
    <w:basedOn w:val="NoList"/>
    <w:semiHidden/>
    <w:rsid w:val="006F0791"/>
    <w:pPr>
      <w:numPr>
        <w:numId w:val="3"/>
      </w:numPr>
    </w:pPr>
  </w:style>
  <w:style w:type="paragraph" w:styleId="DocumentMap">
    <w:name w:val="Document Map"/>
    <w:basedOn w:val="Normal"/>
    <w:semiHidden/>
    <w:rsid w:val="006F0791"/>
    <w:pPr>
      <w:shd w:val="clear" w:color="auto" w:fill="000080"/>
    </w:pPr>
    <w:rPr>
      <w:rFonts w:ascii="Tahoma" w:hAnsi="Tahoma" w:cs="Tahoma"/>
    </w:rPr>
  </w:style>
  <w:style w:type="character" w:styleId="EndnoteReference">
    <w:name w:val="endnote reference"/>
    <w:basedOn w:val="DefaultParagraphFont"/>
    <w:semiHidden/>
    <w:rsid w:val="006F0791"/>
    <w:rPr>
      <w:vertAlign w:val="superscript"/>
    </w:rPr>
  </w:style>
  <w:style w:type="paragraph" w:styleId="EndnoteText">
    <w:name w:val="endnote text"/>
    <w:basedOn w:val="Normal"/>
    <w:semiHidden/>
    <w:rsid w:val="006F0791"/>
    <w:rPr>
      <w:sz w:val="20"/>
      <w:szCs w:val="20"/>
    </w:rPr>
  </w:style>
  <w:style w:type="paragraph" w:styleId="FootnoteText">
    <w:name w:val="footnote text"/>
    <w:basedOn w:val="Normal"/>
    <w:rsid w:val="006F0791"/>
    <w:rPr>
      <w:sz w:val="20"/>
      <w:szCs w:val="20"/>
    </w:rPr>
  </w:style>
  <w:style w:type="paragraph" w:styleId="Index1">
    <w:name w:val="index 1"/>
    <w:basedOn w:val="BodyText"/>
    <w:next w:val="BodyText"/>
    <w:autoRedefine/>
    <w:semiHidden/>
    <w:rsid w:val="006F0791"/>
    <w:pPr>
      <w:spacing w:after="0"/>
      <w:ind w:left="245" w:hanging="245"/>
    </w:pPr>
  </w:style>
  <w:style w:type="paragraph" w:styleId="Index2">
    <w:name w:val="index 2"/>
    <w:basedOn w:val="BodyText"/>
    <w:next w:val="BodyText"/>
    <w:autoRedefine/>
    <w:semiHidden/>
    <w:rsid w:val="006F0791"/>
    <w:pPr>
      <w:spacing w:after="0"/>
      <w:ind w:left="490" w:hanging="245"/>
    </w:pPr>
  </w:style>
  <w:style w:type="paragraph" w:styleId="Index3">
    <w:name w:val="index 3"/>
    <w:basedOn w:val="BodyText"/>
    <w:next w:val="BodyText"/>
    <w:autoRedefine/>
    <w:semiHidden/>
    <w:rsid w:val="006F0791"/>
    <w:pPr>
      <w:spacing w:after="0"/>
      <w:ind w:left="720" w:hanging="245"/>
    </w:pPr>
  </w:style>
  <w:style w:type="paragraph" w:styleId="Index4">
    <w:name w:val="index 4"/>
    <w:basedOn w:val="BodyText"/>
    <w:next w:val="BodyText"/>
    <w:autoRedefine/>
    <w:semiHidden/>
    <w:rsid w:val="006F0791"/>
    <w:pPr>
      <w:spacing w:after="0"/>
      <w:ind w:left="965" w:hanging="245"/>
    </w:pPr>
  </w:style>
  <w:style w:type="paragraph" w:styleId="Index5">
    <w:name w:val="index 5"/>
    <w:basedOn w:val="BodyText"/>
    <w:next w:val="BodyText"/>
    <w:autoRedefine/>
    <w:semiHidden/>
    <w:rsid w:val="006F0791"/>
    <w:pPr>
      <w:spacing w:after="0"/>
      <w:ind w:left="1210" w:hanging="245"/>
    </w:pPr>
  </w:style>
  <w:style w:type="paragraph" w:styleId="Index6">
    <w:name w:val="index 6"/>
    <w:basedOn w:val="BodyText"/>
    <w:next w:val="BodyText"/>
    <w:autoRedefine/>
    <w:semiHidden/>
    <w:rsid w:val="006F0791"/>
    <w:pPr>
      <w:spacing w:after="0"/>
      <w:ind w:left="1440" w:hanging="245"/>
    </w:pPr>
  </w:style>
  <w:style w:type="paragraph" w:styleId="Index7">
    <w:name w:val="index 7"/>
    <w:basedOn w:val="BodyText"/>
    <w:next w:val="BodyText"/>
    <w:autoRedefine/>
    <w:semiHidden/>
    <w:rsid w:val="006F0791"/>
    <w:pPr>
      <w:spacing w:after="0"/>
      <w:ind w:left="1685" w:hanging="245"/>
    </w:pPr>
  </w:style>
  <w:style w:type="paragraph" w:styleId="Index8">
    <w:name w:val="index 8"/>
    <w:basedOn w:val="BodyText"/>
    <w:next w:val="BodyText"/>
    <w:autoRedefine/>
    <w:semiHidden/>
    <w:rsid w:val="006F0791"/>
    <w:pPr>
      <w:spacing w:after="0"/>
      <w:ind w:left="1930" w:hanging="245"/>
    </w:pPr>
  </w:style>
  <w:style w:type="paragraph" w:styleId="Index9">
    <w:name w:val="index 9"/>
    <w:basedOn w:val="BodyText"/>
    <w:next w:val="BodyText"/>
    <w:autoRedefine/>
    <w:semiHidden/>
    <w:rsid w:val="006F0791"/>
    <w:pPr>
      <w:spacing w:after="0"/>
      <w:ind w:left="2160" w:hanging="245"/>
    </w:pPr>
  </w:style>
  <w:style w:type="paragraph" w:styleId="IndexHeading">
    <w:name w:val="index heading"/>
    <w:basedOn w:val="BodyText"/>
    <w:next w:val="Index1"/>
    <w:semiHidden/>
    <w:rsid w:val="006F0791"/>
    <w:pPr>
      <w:spacing w:after="0"/>
    </w:pPr>
    <w:rPr>
      <w:b/>
      <w:bCs/>
    </w:rPr>
  </w:style>
  <w:style w:type="paragraph" w:styleId="MacroText">
    <w:name w:val="macro"/>
    <w:semiHidden/>
    <w:rsid w:val="006F079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00"/>
    </w:rPr>
  </w:style>
  <w:style w:type="paragraph" w:styleId="TableofAuthorities">
    <w:name w:val="table of authorities"/>
    <w:basedOn w:val="Normal"/>
    <w:next w:val="Normal"/>
    <w:semiHidden/>
    <w:rsid w:val="006F0791"/>
    <w:pPr>
      <w:ind w:left="240" w:hanging="240"/>
    </w:pPr>
  </w:style>
  <w:style w:type="paragraph" w:styleId="TableofFigures">
    <w:name w:val="table of figures"/>
    <w:basedOn w:val="Normal"/>
    <w:next w:val="Normal"/>
    <w:semiHidden/>
    <w:rsid w:val="006F0791"/>
    <w:pPr>
      <w:ind w:left="480" w:hanging="480"/>
    </w:pPr>
  </w:style>
  <w:style w:type="paragraph" w:styleId="TOAHeading">
    <w:name w:val="toa heading"/>
    <w:basedOn w:val="BodyText"/>
    <w:next w:val="BodyText"/>
    <w:semiHidden/>
    <w:rsid w:val="006F0791"/>
    <w:pPr>
      <w:spacing w:before="120"/>
    </w:pPr>
    <w:rPr>
      <w:rFonts w:ascii="Arial" w:hAnsi="Arial" w:cs="Arial"/>
      <w:b/>
      <w:bCs/>
    </w:rPr>
  </w:style>
  <w:style w:type="paragraph" w:styleId="TOC5">
    <w:name w:val="toc 5"/>
    <w:basedOn w:val="BodyText"/>
    <w:next w:val="BodyText"/>
    <w:autoRedefine/>
    <w:semiHidden/>
    <w:rsid w:val="006F0791"/>
    <w:pPr>
      <w:spacing w:after="60"/>
      <w:ind w:left="965"/>
    </w:pPr>
    <w:rPr>
      <w:sz w:val="20"/>
      <w:szCs w:val="20"/>
    </w:rPr>
  </w:style>
  <w:style w:type="paragraph" w:styleId="TOC6">
    <w:name w:val="toc 6"/>
    <w:basedOn w:val="BodyText"/>
    <w:next w:val="BodyText"/>
    <w:autoRedefine/>
    <w:semiHidden/>
    <w:rsid w:val="006F0791"/>
    <w:pPr>
      <w:spacing w:after="60"/>
      <w:ind w:left="1195"/>
    </w:pPr>
    <w:rPr>
      <w:sz w:val="20"/>
      <w:szCs w:val="20"/>
    </w:rPr>
  </w:style>
  <w:style w:type="paragraph" w:styleId="TOC7">
    <w:name w:val="toc 7"/>
    <w:basedOn w:val="BodyText"/>
    <w:next w:val="BodyText"/>
    <w:autoRedefine/>
    <w:semiHidden/>
    <w:rsid w:val="006F0791"/>
    <w:pPr>
      <w:spacing w:after="60"/>
      <w:ind w:left="1440"/>
    </w:pPr>
    <w:rPr>
      <w:sz w:val="20"/>
      <w:szCs w:val="20"/>
    </w:rPr>
  </w:style>
  <w:style w:type="paragraph" w:styleId="TOC8">
    <w:name w:val="toc 8"/>
    <w:basedOn w:val="BodyText"/>
    <w:next w:val="BodyText"/>
    <w:autoRedefine/>
    <w:semiHidden/>
    <w:rsid w:val="006F0791"/>
    <w:pPr>
      <w:spacing w:after="60"/>
      <w:ind w:left="1685"/>
    </w:pPr>
    <w:rPr>
      <w:sz w:val="20"/>
      <w:szCs w:val="20"/>
    </w:rPr>
  </w:style>
  <w:style w:type="paragraph" w:styleId="TOC9">
    <w:name w:val="toc 9"/>
    <w:basedOn w:val="BodyText"/>
    <w:next w:val="BodyText"/>
    <w:autoRedefine/>
    <w:semiHidden/>
    <w:rsid w:val="006F0791"/>
    <w:pPr>
      <w:spacing w:after="60"/>
      <w:ind w:left="1915"/>
    </w:pPr>
    <w:rPr>
      <w:sz w:val="20"/>
      <w:szCs w:val="20"/>
    </w:rPr>
  </w:style>
  <w:style w:type="table" w:customStyle="1" w:styleId="GAOTable">
    <w:name w:val="GAO Table"/>
    <w:semiHidden/>
    <w:rsid w:val="006F0791"/>
    <w:rPr>
      <w:color w:val="000000"/>
    </w:rPr>
    <w:tblPr>
      <w:tblBorders>
        <w:top w:val="single" w:sz="4" w:space="0" w:color="000000"/>
        <w:bottom w:val="single" w:sz="18" w:space="0" w:color="000000"/>
      </w:tblBorders>
      <w:tblCellMar>
        <w:top w:w="0" w:type="dxa"/>
        <w:left w:w="108" w:type="dxa"/>
        <w:bottom w:w="0" w:type="dxa"/>
        <w:right w:w="108" w:type="dxa"/>
      </w:tblCellMar>
    </w:tblPr>
  </w:style>
  <w:style w:type="paragraph" w:customStyle="1" w:styleId="Contents">
    <w:name w:val="Contents"/>
    <w:basedOn w:val="BodyText"/>
    <w:semiHidden/>
    <w:rsid w:val="006F0791"/>
    <w:pPr>
      <w:keepNext/>
      <w:keepLines/>
      <w:spacing w:before="120" w:after="240"/>
    </w:pPr>
    <w:rPr>
      <w:sz w:val="48"/>
      <w:szCs w:val="48"/>
    </w:rPr>
  </w:style>
  <w:style w:type="paragraph" w:customStyle="1" w:styleId="FAM-Num-1">
    <w:name w:val="FAM-Num-1"/>
    <w:rsid w:val="006F0791"/>
    <w:pPr>
      <w:numPr>
        <w:numId w:val="13"/>
      </w:numPr>
      <w:spacing w:after="120"/>
    </w:pPr>
    <w:rPr>
      <w:rFonts w:ascii="ITCCentury Book" w:hAnsi="ITCCentury Book" w:cs="ITCCentury Book"/>
      <w:color w:val="000000"/>
      <w:sz w:val="24"/>
      <w:szCs w:val="24"/>
    </w:rPr>
  </w:style>
  <w:style w:type="paragraph" w:customStyle="1" w:styleId="FAM-Num-2">
    <w:name w:val="FAM-Num-2"/>
    <w:rsid w:val="006F0791"/>
    <w:pPr>
      <w:numPr>
        <w:numId w:val="14"/>
      </w:numPr>
      <w:spacing w:after="120"/>
    </w:pPr>
    <w:rPr>
      <w:rFonts w:ascii="ITCCentury Book" w:hAnsi="ITCCentury Book" w:cs="ITCCentury Book"/>
      <w:color w:val="000000"/>
      <w:sz w:val="24"/>
      <w:szCs w:val="24"/>
    </w:rPr>
  </w:style>
  <w:style w:type="paragraph" w:customStyle="1" w:styleId="FAM-Bullet-1">
    <w:name w:val="FAM-Bullet-1"/>
    <w:link w:val="FAM-Bullet-1Char"/>
    <w:rsid w:val="006F0791"/>
    <w:pPr>
      <w:numPr>
        <w:numId w:val="8"/>
      </w:numPr>
      <w:spacing w:after="120"/>
    </w:pPr>
    <w:rPr>
      <w:rFonts w:ascii="ITCCentury Book" w:hAnsi="ITCCentury Book" w:cs="ITCCentury Book"/>
      <w:color w:val="000000"/>
      <w:sz w:val="24"/>
      <w:szCs w:val="24"/>
    </w:rPr>
  </w:style>
  <w:style w:type="paragraph" w:customStyle="1" w:styleId="FAM-Bullet-2">
    <w:name w:val="FAM-Bullet-2"/>
    <w:rsid w:val="006F0791"/>
    <w:pPr>
      <w:numPr>
        <w:numId w:val="9"/>
      </w:numPr>
      <w:spacing w:after="120"/>
    </w:pPr>
    <w:rPr>
      <w:rFonts w:ascii="ITCCentury Book" w:hAnsi="ITCCentury Book" w:cs="ITCCentury Book"/>
      <w:color w:val="000000"/>
      <w:sz w:val="24"/>
      <w:szCs w:val="24"/>
    </w:rPr>
  </w:style>
  <w:style w:type="paragraph" w:customStyle="1" w:styleId="FAM-Bullet-3">
    <w:name w:val="FAM-Bullet-3"/>
    <w:rsid w:val="006F0791"/>
    <w:pPr>
      <w:numPr>
        <w:numId w:val="10"/>
      </w:numPr>
      <w:spacing w:after="120"/>
    </w:pPr>
    <w:rPr>
      <w:rFonts w:ascii="ITCCentury Book" w:hAnsi="ITCCentury Book" w:cs="ITCCentury Book"/>
      <w:color w:val="000000"/>
      <w:sz w:val="24"/>
      <w:szCs w:val="24"/>
    </w:rPr>
  </w:style>
  <w:style w:type="paragraph" w:customStyle="1" w:styleId="FAM-alpha-1">
    <w:name w:val="FAM-alpha-1"/>
    <w:rsid w:val="006F0791"/>
    <w:pPr>
      <w:numPr>
        <w:numId w:val="26"/>
      </w:numPr>
      <w:spacing w:after="120"/>
    </w:pPr>
    <w:rPr>
      <w:rFonts w:ascii="ITCCentury Book" w:hAnsi="ITCCentury Book" w:cs="ITCCentury Book"/>
      <w:color w:val="000000"/>
      <w:sz w:val="24"/>
      <w:szCs w:val="24"/>
    </w:rPr>
  </w:style>
  <w:style w:type="paragraph" w:customStyle="1" w:styleId="FAM-alpha-2">
    <w:name w:val="FAM-alpha-2"/>
    <w:rsid w:val="006F0791"/>
    <w:pPr>
      <w:numPr>
        <w:numId w:val="4"/>
      </w:numPr>
      <w:spacing w:after="120"/>
    </w:pPr>
    <w:rPr>
      <w:rFonts w:ascii="ITCCentury Book" w:hAnsi="ITCCentury Book" w:cs="ITCCentury Book"/>
      <w:color w:val="000000"/>
      <w:sz w:val="24"/>
      <w:szCs w:val="24"/>
    </w:rPr>
  </w:style>
  <w:style w:type="paragraph" w:customStyle="1" w:styleId="FAM-alpha-3">
    <w:name w:val="FAM-alpha-3"/>
    <w:rsid w:val="006F0791"/>
    <w:pPr>
      <w:numPr>
        <w:numId w:val="5"/>
      </w:numPr>
      <w:spacing w:after="120"/>
    </w:pPr>
    <w:rPr>
      <w:rFonts w:ascii="ITCCentury Book" w:hAnsi="ITCCentury Book" w:cs="ITCCentury Book"/>
      <w:color w:val="000000"/>
      <w:sz w:val="24"/>
      <w:szCs w:val="24"/>
    </w:rPr>
  </w:style>
  <w:style w:type="paragraph" w:customStyle="1" w:styleId="FAM-Cont-1">
    <w:name w:val="FAM-Cont-1"/>
    <w:rsid w:val="006F0791"/>
    <w:pPr>
      <w:spacing w:after="120"/>
      <w:ind w:left="1800"/>
    </w:pPr>
    <w:rPr>
      <w:rFonts w:ascii="ITCCentury Book" w:hAnsi="ITCCentury Book" w:cs="ITCCentury Book"/>
      <w:color w:val="000000"/>
      <w:sz w:val="24"/>
      <w:szCs w:val="24"/>
    </w:rPr>
  </w:style>
  <w:style w:type="paragraph" w:customStyle="1" w:styleId="FAM-Cont-2">
    <w:name w:val="FAM-Cont-2"/>
    <w:rsid w:val="006F0791"/>
    <w:pPr>
      <w:spacing w:after="120"/>
      <w:ind w:left="2160"/>
    </w:pPr>
    <w:rPr>
      <w:rFonts w:ascii="ITCCentury Book" w:hAnsi="ITCCentury Book" w:cs="ITCCentury Book"/>
      <w:color w:val="000000"/>
      <w:sz w:val="24"/>
      <w:szCs w:val="24"/>
    </w:rPr>
  </w:style>
  <w:style w:type="paragraph" w:customStyle="1" w:styleId="FAM-Cont-3">
    <w:name w:val="FAM-Cont-3"/>
    <w:rsid w:val="006F0791"/>
    <w:pPr>
      <w:spacing w:after="120"/>
      <w:ind w:left="2520"/>
    </w:pPr>
    <w:rPr>
      <w:rFonts w:ascii="ITCCentury Book" w:hAnsi="ITCCentury Book" w:cs="ITCCentury Book"/>
      <w:color w:val="000000"/>
      <w:sz w:val="24"/>
      <w:szCs w:val="24"/>
    </w:rPr>
  </w:style>
  <w:style w:type="paragraph" w:customStyle="1" w:styleId="FAM-Num-3">
    <w:name w:val="FAM-Num-3"/>
    <w:rsid w:val="006F0791"/>
    <w:pPr>
      <w:numPr>
        <w:numId w:val="15"/>
      </w:numPr>
      <w:spacing w:after="120"/>
    </w:pPr>
    <w:rPr>
      <w:rFonts w:ascii="ITCCentury Book" w:hAnsi="ITCCentury Book" w:cs="ITCCentury Book"/>
      <w:color w:val="000000"/>
      <w:sz w:val="24"/>
      <w:szCs w:val="24"/>
    </w:rPr>
  </w:style>
  <w:style w:type="paragraph" w:customStyle="1" w:styleId="FAM-out-1">
    <w:name w:val="FAM-out-1"/>
    <w:rsid w:val="006F0791"/>
    <w:pPr>
      <w:numPr>
        <w:numId w:val="18"/>
      </w:numPr>
      <w:spacing w:after="120"/>
    </w:pPr>
    <w:rPr>
      <w:rFonts w:ascii="ITCCentury Book" w:hAnsi="ITCCentury Book" w:cs="ITCCentury Book"/>
      <w:color w:val="000000"/>
      <w:sz w:val="24"/>
      <w:szCs w:val="24"/>
    </w:rPr>
  </w:style>
  <w:style w:type="paragraph" w:customStyle="1" w:styleId="FAM-out-2">
    <w:name w:val="FAM-out-2"/>
    <w:rsid w:val="006F0791"/>
    <w:pPr>
      <w:numPr>
        <w:ilvl w:val="1"/>
        <w:numId w:val="18"/>
      </w:numPr>
      <w:spacing w:after="120"/>
    </w:pPr>
    <w:rPr>
      <w:rFonts w:ascii="ITCCentury Book" w:hAnsi="ITCCentury Book" w:cs="ITCCentury Book"/>
      <w:color w:val="000000"/>
      <w:sz w:val="24"/>
      <w:szCs w:val="24"/>
    </w:rPr>
  </w:style>
  <w:style w:type="paragraph" w:customStyle="1" w:styleId="FAM-out-3">
    <w:name w:val="FAM-out-3"/>
    <w:rsid w:val="006F0791"/>
    <w:pPr>
      <w:numPr>
        <w:ilvl w:val="2"/>
        <w:numId w:val="18"/>
      </w:numPr>
      <w:spacing w:after="120"/>
    </w:pPr>
    <w:rPr>
      <w:rFonts w:ascii="ITCCentury Book" w:hAnsi="ITCCentury Book" w:cs="ITCCentury Book"/>
      <w:color w:val="000000"/>
      <w:sz w:val="24"/>
      <w:szCs w:val="24"/>
    </w:rPr>
  </w:style>
  <w:style w:type="paragraph" w:customStyle="1" w:styleId="FAM-alpha-4">
    <w:name w:val="FAM-alpha-4"/>
    <w:semiHidden/>
    <w:rsid w:val="006F0791"/>
    <w:pPr>
      <w:numPr>
        <w:numId w:val="6"/>
      </w:numPr>
      <w:spacing w:after="120"/>
    </w:pPr>
    <w:rPr>
      <w:rFonts w:ascii="ITCCentury Book" w:hAnsi="ITCCentury Book" w:cs="ITCCentury Book"/>
      <w:color w:val="000000"/>
      <w:sz w:val="24"/>
      <w:szCs w:val="24"/>
    </w:rPr>
  </w:style>
  <w:style w:type="character" w:customStyle="1" w:styleId="Hypertext">
    <w:name w:val="Hypertext"/>
    <w:semiHidden/>
    <w:rsid w:val="006F0791"/>
    <w:rPr>
      <w:color w:val="0000FF"/>
      <w:u w:val="single"/>
    </w:rPr>
  </w:style>
  <w:style w:type="paragraph" w:customStyle="1" w:styleId="FAM-title-Figure">
    <w:name w:val="FAM-title-Figure"/>
    <w:next w:val="BodyText"/>
    <w:rsid w:val="006F0791"/>
    <w:pPr>
      <w:keepNext/>
      <w:spacing w:before="240" w:after="120"/>
      <w:outlineLvl w:val="4"/>
    </w:pPr>
    <w:rPr>
      <w:rFonts w:ascii="ITCCentury Book" w:hAnsi="ITCCentury Book" w:cs="ITCCentury Book"/>
      <w:b/>
      <w:bCs/>
      <w:color w:val="000000"/>
      <w:sz w:val="24"/>
      <w:szCs w:val="24"/>
    </w:rPr>
  </w:style>
  <w:style w:type="paragraph" w:customStyle="1" w:styleId="FAM-title-Table">
    <w:name w:val="FAM-title-Table"/>
    <w:next w:val="BodyText"/>
    <w:rsid w:val="006F0791"/>
    <w:pPr>
      <w:keepNext/>
      <w:spacing w:before="240" w:after="120"/>
      <w:outlineLvl w:val="4"/>
    </w:pPr>
    <w:rPr>
      <w:rFonts w:ascii="ITCCentury Book" w:hAnsi="ITCCentury Book" w:cs="ITCCentury Book"/>
      <w:b/>
      <w:bCs/>
      <w:color w:val="000000"/>
      <w:sz w:val="24"/>
      <w:szCs w:val="24"/>
    </w:rPr>
  </w:style>
  <w:style w:type="paragraph" w:customStyle="1" w:styleId="FAM-title-Form">
    <w:name w:val="FAM-title-Form"/>
    <w:rsid w:val="006F0791"/>
    <w:pPr>
      <w:keepNext/>
      <w:spacing w:before="240" w:after="120"/>
      <w:outlineLvl w:val="4"/>
    </w:pPr>
    <w:rPr>
      <w:rFonts w:ascii="ITCCentury Book" w:hAnsi="ITCCentury Book" w:cs="ITCCentury Book"/>
      <w:b/>
      <w:bCs/>
      <w:color w:val="000000"/>
      <w:sz w:val="24"/>
      <w:szCs w:val="24"/>
    </w:rPr>
  </w:style>
  <w:style w:type="paragraph" w:customStyle="1" w:styleId="FAM-alpha-5">
    <w:name w:val="FAM-alpha-5"/>
    <w:semiHidden/>
    <w:rsid w:val="006F0791"/>
    <w:pPr>
      <w:numPr>
        <w:numId w:val="7"/>
      </w:numPr>
      <w:spacing w:after="120"/>
    </w:pPr>
    <w:rPr>
      <w:rFonts w:ascii="ITCCentury Book" w:hAnsi="ITCCentury Book" w:cs="ITCCentury Book"/>
      <w:color w:val="000000"/>
      <w:sz w:val="24"/>
      <w:szCs w:val="24"/>
    </w:rPr>
  </w:style>
  <w:style w:type="paragraph" w:customStyle="1" w:styleId="FAM-Bullet-4">
    <w:name w:val="FAM-Bullet-4"/>
    <w:semiHidden/>
    <w:rsid w:val="006F0791"/>
    <w:pPr>
      <w:numPr>
        <w:numId w:val="11"/>
      </w:numPr>
      <w:spacing w:after="120"/>
    </w:pPr>
    <w:rPr>
      <w:rFonts w:ascii="ITCCentury Book" w:hAnsi="ITCCentury Book" w:cs="ITCCentury Book"/>
      <w:color w:val="000000"/>
      <w:sz w:val="24"/>
      <w:szCs w:val="24"/>
    </w:rPr>
  </w:style>
  <w:style w:type="paragraph" w:customStyle="1" w:styleId="FAM-Bullet-5">
    <w:name w:val="FAM-Bullet-5"/>
    <w:semiHidden/>
    <w:rsid w:val="006F0791"/>
    <w:pPr>
      <w:numPr>
        <w:numId w:val="12"/>
      </w:numPr>
      <w:spacing w:after="120"/>
    </w:pPr>
    <w:rPr>
      <w:rFonts w:ascii="ITCCentury Book" w:hAnsi="ITCCentury Book" w:cs="ITCCentury Book"/>
      <w:color w:val="000000"/>
      <w:sz w:val="24"/>
      <w:szCs w:val="24"/>
    </w:rPr>
  </w:style>
  <w:style w:type="paragraph" w:customStyle="1" w:styleId="FAM-Cont-4">
    <w:name w:val="FAM-Cont-4"/>
    <w:semiHidden/>
    <w:rsid w:val="006F0791"/>
    <w:pPr>
      <w:spacing w:after="120"/>
      <w:ind w:left="2880"/>
    </w:pPr>
    <w:rPr>
      <w:rFonts w:ascii="ITCCentury Book" w:hAnsi="ITCCentury Book" w:cs="ITCCentury Book"/>
      <w:color w:val="000000"/>
      <w:sz w:val="24"/>
      <w:szCs w:val="24"/>
    </w:rPr>
  </w:style>
  <w:style w:type="paragraph" w:customStyle="1" w:styleId="FAM-Cont-5">
    <w:name w:val="FAM-Cont-5"/>
    <w:semiHidden/>
    <w:rsid w:val="006F0791"/>
    <w:pPr>
      <w:spacing w:after="120"/>
      <w:ind w:left="3240"/>
    </w:pPr>
    <w:rPr>
      <w:rFonts w:ascii="ITCCentury Book" w:hAnsi="ITCCentury Book" w:cs="ITCCentury Book"/>
      <w:color w:val="000000"/>
      <w:sz w:val="24"/>
      <w:szCs w:val="24"/>
    </w:rPr>
  </w:style>
  <w:style w:type="paragraph" w:customStyle="1" w:styleId="FAM-Num-4">
    <w:name w:val="FAM-Num-4"/>
    <w:semiHidden/>
    <w:rsid w:val="006F0791"/>
    <w:pPr>
      <w:numPr>
        <w:numId w:val="16"/>
      </w:numPr>
      <w:spacing w:after="120"/>
    </w:pPr>
    <w:rPr>
      <w:rFonts w:ascii="ITCCentury Book" w:hAnsi="ITCCentury Book" w:cs="ITCCentury Book"/>
      <w:color w:val="000000"/>
      <w:sz w:val="24"/>
      <w:szCs w:val="24"/>
    </w:rPr>
  </w:style>
  <w:style w:type="paragraph" w:customStyle="1" w:styleId="FAM-Num-5">
    <w:name w:val="FAM-Num-5"/>
    <w:semiHidden/>
    <w:rsid w:val="006F0791"/>
    <w:pPr>
      <w:numPr>
        <w:numId w:val="17"/>
      </w:numPr>
      <w:spacing w:after="120"/>
    </w:pPr>
    <w:rPr>
      <w:rFonts w:ascii="ITCCentury Book" w:hAnsi="ITCCentury Book" w:cs="ITCCentury Book"/>
      <w:color w:val="000000"/>
      <w:sz w:val="24"/>
      <w:szCs w:val="24"/>
    </w:rPr>
  </w:style>
  <w:style w:type="paragraph" w:customStyle="1" w:styleId="FAM-out-4">
    <w:name w:val="FAM-out-4"/>
    <w:rsid w:val="006F0791"/>
    <w:pPr>
      <w:numPr>
        <w:ilvl w:val="3"/>
        <w:numId w:val="18"/>
      </w:numPr>
      <w:spacing w:after="120"/>
    </w:pPr>
    <w:rPr>
      <w:rFonts w:ascii="ITCCentury Book" w:hAnsi="ITCCentury Book" w:cs="ITCCentury Book"/>
      <w:color w:val="000000"/>
      <w:sz w:val="24"/>
      <w:szCs w:val="24"/>
    </w:rPr>
  </w:style>
  <w:style w:type="paragraph" w:customStyle="1" w:styleId="FAM-out-5">
    <w:name w:val="FAM-out-5"/>
    <w:rsid w:val="006F0791"/>
    <w:pPr>
      <w:numPr>
        <w:ilvl w:val="4"/>
        <w:numId w:val="18"/>
      </w:numPr>
      <w:spacing w:after="120"/>
    </w:pPr>
    <w:rPr>
      <w:rFonts w:ascii="ITCCentury Book" w:hAnsi="ITCCentury Book" w:cs="ITCCentury Book"/>
      <w:color w:val="000000"/>
      <w:sz w:val="24"/>
      <w:szCs w:val="24"/>
    </w:rPr>
  </w:style>
  <w:style w:type="paragraph" w:customStyle="1" w:styleId="BodyText-Cont-FAM">
    <w:name w:val="Body Text-Cont-FAM"/>
    <w:rsid w:val="006F0791"/>
    <w:pPr>
      <w:spacing w:after="120"/>
      <w:ind w:left="1440"/>
    </w:pPr>
    <w:rPr>
      <w:rFonts w:ascii="ITCCentury Book" w:hAnsi="ITCCentury Book" w:cs="ITCCentury Book"/>
      <w:color w:val="000000"/>
      <w:sz w:val="24"/>
      <w:szCs w:val="24"/>
    </w:rPr>
  </w:style>
  <w:style w:type="paragraph" w:customStyle="1" w:styleId="FAM-Table-NumList">
    <w:name w:val="FAM-Table-NumList"/>
    <w:rsid w:val="006F0791"/>
    <w:pPr>
      <w:numPr>
        <w:numId w:val="22"/>
      </w:numPr>
    </w:pPr>
    <w:rPr>
      <w:rFonts w:ascii="ITCCentury Book" w:hAnsi="ITCCentury Book" w:cs="ITCCentury Book"/>
      <w:color w:val="000000"/>
      <w:sz w:val="24"/>
      <w:szCs w:val="24"/>
    </w:rPr>
  </w:style>
  <w:style w:type="paragraph" w:customStyle="1" w:styleId="FAM-Table-Bullet">
    <w:name w:val="FAM-Table-Bullet"/>
    <w:rsid w:val="006F0791"/>
    <w:pPr>
      <w:numPr>
        <w:numId w:val="21"/>
      </w:numPr>
    </w:pPr>
    <w:rPr>
      <w:rFonts w:ascii="ITCCentury Book" w:hAnsi="ITCCentury Book" w:cs="ITCCentury Book"/>
      <w:color w:val="000000"/>
      <w:sz w:val="24"/>
      <w:szCs w:val="24"/>
    </w:rPr>
  </w:style>
  <w:style w:type="paragraph" w:customStyle="1" w:styleId="FAM-Table-outline">
    <w:name w:val="FAM-Table-outline"/>
    <w:rsid w:val="006F0791"/>
    <w:pPr>
      <w:numPr>
        <w:numId w:val="23"/>
      </w:numPr>
    </w:pPr>
    <w:rPr>
      <w:rFonts w:ascii="ITCCentury Book" w:hAnsi="ITCCentury Book" w:cs="ITCCentury Book"/>
      <w:color w:val="000000"/>
      <w:sz w:val="24"/>
      <w:szCs w:val="24"/>
    </w:rPr>
  </w:style>
  <w:style w:type="paragraph" w:customStyle="1" w:styleId="FAM-Table-alpha-list">
    <w:name w:val="FAM-Table-alpha-list"/>
    <w:rsid w:val="006F0791"/>
    <w:pPr>
      <w:numPr>
        <w:numId w:val="20"/>
      </w:numPr>
    </w:pPr>
    <w:rPr>
      <w:rFonts w:ascii="ITCCentury Book" w:hAnsi="ITCCentury Book" w:cs="ITCCentury Book"/>
      <w:color w:val="000000"/>
      <w:sz w:val="24"/>
      <w:szCs w:val="24"/>
    </w:rPr>
  </w:style>
  <w:style w:type="paragraph" w:customStyle="1" w:styleId="FAM-Table-outline2">
    <w:name w:val="FAM-Table-outline2"/>
    <w:rsid w:val="006F0791"/>
    <w:pPr>
      <w:numPr>
        <w:ilvl w:val="1"/>
        <w:numId w:val="23"/>
      </w:numPr>
    </w:pPr>
    <w:rPr>
      <w:rFonts w:ascii="ITCCentury Book" w:hAnsi="ITCCentury Book" w:cs="ITCCentury Book"/>
      <w:color w:val="000000"/>
      <w:sz w:val="24"/>
      <w:szCs w:val="24"/>
    </w:rPr>
  </w:style>
  <w:style w:type="paragraph" w:customStyle="1" w:styleId="FAM-Table-outline3">
    <w:name w:val="FAM-Table-outline3"/>
    <w:rsid w:val="006F0791"/>
    <w:pPr>
      <w:numPr>
        <w:ilvl w:val="2"/>
        <w:numId w:val="23"/>
      </w:numPr>
    </w:pPr>
    <w:rPr>
      <w:rFonts w:ascii="ITCCentury Book" w:hAnsi="ITCCentury Book" w:cs="ITCCentury Book"/>
      <w:color w:val="000000"/>
      <w:sz w:val="24"/>
      <w:szCs w:val="24"/>
    </w:rPr>
  </w:style>
  <w:style w:type="paragraph" w:customStyle="1" w:styleId="FAM-Table-outline4">
    <w:name w:val="FAM-Table-outline4"/>
    <w:rsid w:val="006F0791"/>
    <w:pPr>
      <w:numPr>
        <w:ilvl w:val="3"/>
        <w:numId w:val="23"/>
      </w:numPr>
    </w:pPr>
    <w:rPr>
      <w:rFonts w:ascii="ITCCentury Book" w:hAnsi="ITCCentury Book" w:cs="ITCCentury Book"/>
      <w:color w:val="000000"/>
      <w:sz w:val="24"/>
      <w:szCs w:val="24"/>
    </w:rPr>
  </w:style>
  <w:style w:type="paragraph" w:customStyle="1" w:styleId="FAM-Table-outline5">
    <w:name w:val="FAM-Table-outline5"/>
    <w:rsid w:val="006F0791"/>
    <w:pPr>
      <w:numPr>
        <w:ilvl w:val="4"/>
        <w:numId w:val="23"/>
      </w:numPr>
    </w:pPr>
    <w:rPr>
      <w:rFonts w:ascii="ITCCentury Book" w:hAnsi="ITCCentury Book" w:cs="ITCCentury Book"/>
      <w:color w:val="000000"/>
      <w:sz w:val="24"/>
      <w:szCs w:val="24"/>
    </w:rPr>
  </w:style>
  <w:style w:type="paragraph" w:customStyle="1" w:styleId="FAM-Table-Cont">
    <w:name w:val="FAM-Table-Cont"/>
    <w:rsid w:val="006F0791"/>
    <w:pPr>
      <w:ind w:left="720"/>
    </w:pPr>
    <w:rPr>
      <w:rFonts w:ascii="ITCCentury Book" w:hAnsi="ITCCentury Book" w:cs="ITCCentury Book"/>
      <w:color w:val="000000"/>
      <w:sz w:val="24"/>
      <w:szCs w:val="24"/>
    </w:rPr>
  </w:style>
  <w:style w:type="paragraph" w:customStyle="1" w:styleId="Table-Cell-Center">
    <w:name w:val="Table-Cell-Center"/>
    <w:basedOn w:val="Normal"/>
    <w:rsid w:val="006F0791"/>
    <w:pPr>
      <w:jc w:val="center"/>
    </w:pPr>
  </w:style>
  <w:style w:type="paragraph" w:customStyle="1" w:styleId="Table-Cell-Indent">
    <w:name w:val="Table-Cell-Indent"/>
    <w:basedOn w:val="Normal"/>
    <w:rsid w:val="006F0791"/>
    <w:pPr>
      <w:ind w:left="360"/>
    </w:pPr>
  </w:style>
  <w:style w:type="paragraph" w:customStyle="1" w:styleId="Table-Cell-Left">
    <w:name w:val="Table-Cell-Left"/>
    <w:basedOn w:val="Normal"/>
    <w:rsid w:val="006F0791"/>
  </w:style>
  <w:style w:type="paragraph" w:customStyle="1" w:styleId="Table-Cell-Right">
    <w:name w:val="Table-Cell-Right"/>
    <w:basedOn w:val="Normal"/>
    <w:rsid w:val="006F0791"/>
    <w:pPr>
      <w:jc w:val="right"/>
    </w:pPr>
  </w:style>
  <w:style w:type="paragraph" w:customStyle="1" w:styleId="Table-Head-Center">
    <w:name w:val="Table-Head-Center"/>
    <w:basedOn w:val="Normal"/>
    <w:rsid w:val="006F0791"/>
    <w:pPr>
      <w:jc w:val="center"/>
    </w:pPr>
    <w:rPr>
      <w:b/>
      <w:bCs/>
    </w:rPr>
  </w:style>
  <w:style w:type="paragraph" w:customStyle="1" w:styleId="Table-Head-Left">
    <w:name w:val="Table-Head-Left"/>
    <w:basedOn w:val="Normal"/>
    <w:rsid w:val="006F0791"/>
    <w:rPr>
      <w:b/>
      <w:bCs/>
    </w:rPr>
  </w:style>
  <w:style w:type="paragraph" w:customStyle="1" w:styleId="Table-Head-Right">
    <w:name w:val="Table-Head-Right"/>
    <w:basedOn w:val="Normal"/>
    <w:rsid w:val="006F0791"/>
    <w:pPr>
      <w:jc w:val="right"/>
    </w:pPr>
    <w:rPr>
      <w:b/>
      <w:bCs/>
    </w:rPr>
  </w:style>
  <w:style w:type="paragraph" w:customStyle="1" w:styleId="Table-Note">
    <w:name w:val="Table-Note"/>
    <w:basedOn w:val="BodyText"/>
    <w:rsid w:val="006F0791"/>
    <w:pPr>
      <w:keepNext/>
      <w:ind w:left="360"/>
    </w:pPr>
    <w:rPr>
      <w:i/>
      <w:iCs/>
    </w:rPr>
  </w:style>
  <w:style w:type="character" w:customStyle="1" w:styleId="EquationCaption">
    <w:name w:val="_Equation Caption"/>
    <w:semiHidden/>
    <w:rsid w:val="006F0791"/>
  </w:style>
  <w:style w:type="paragraph" w:customStyle="1" w:styleId="FAM-Table-Bullet2">
    <w:name w:val="FAM-Table-Bullet2"/>
    <w:rsid w:val="006F0791"/>
    <w:pPr>
      <w:numPr>
        <w:numId w:val="27"/>
      </w:numPr>
    </w:pPr>
    <w:rPr>
      <w:rFonts w:ascii="ITCCentury Book" w:hAnsi="ITCCentury Book" w:cs="ITCCentury Book"/>
      <w:color w:val="000000"/>
      <w:sz w:val="24"/>
      <w:szCs w:val="24"/>
    </w:rPr>
  </w:style>
  <w:style w:type="paragraph" w:customStyle="1" w:styleId="heading-base">
    <w:name w:val="heading-base"/>
    <w:semiHidden/>
    <w:rsid w:val="006F0791"/>
    <w:pPr>
      <w:keepNext/>
      <w:keepLines/>
      <w:spacing w:before="120" w:after="120"/>
    </w:pPr>
    <w:rPr>
      <w:color w:val="000000"/>
      <w:sz w:val="24"/>
      <w:szCs w:val="24"/>
    </w:rPr>
  </w:style>
  <w:style w:type="paragraph" w:customStyle="1" w:styleId="Status2-Task">
    <w:name w:val="Status2-Task"/>
    <w:basedOn w:val="Normal"/>
    <w:rsid w:val="006F0791"/>
    <w:pPr>
      <w:numPr>
        <w:ilvl w:val="1"/>
        <w:numId w:val="34"/>
      </w:numPr>
      <w:spacing w:after="60"/>
    </w:pPr>
    <w:rPr>
      <w:b/>
      <w:szCs w:val="20"/>
    </w:rPr>
  </w:style>
  <w:style w:type="character" w:customStyle="1" w:styleId="Projectcategory">
    <w:name w:val="Project category"/>
    <w:basedOn w:val="DefaultParagraphFont"/>
    <w:rsid w:val="006F0791"/>
    <w:rPr>
      <w:u w:val="single"/>
    </w:rPr>
  </w:style>
  <w:style w:type="character" w:customStyle="1" w:styleId="Bold-n-Blue">
    <w:name w:val="Bold-n-Blue"/>
    <w:rsid w:val="006F0791"/>
    <w:rPr>
      <w:b/>
      <w:color w:val="0000FF"/>
    </w:rPr>
  </w:style>
  <w:style w:type="paragraph" w:customStyle="1" w:styleId="FigureTableSource-Note">
    <w:name w:val="Figure/Table Source-Note"/>
    <w:basedOn w:val="TableCellLeft"/>
    <w:next w:val="BodyText"/>
    <w:rsid w:val="006F0791"/>
    <w:pPr>
      <w:spacing w:before="60"/>
    </w:pPr>
    <w:rPr>
      <w:sz w:val="16"/>
    </w:rPr>
  </w:style>
  <w:style w:type="paragraph" w:customStyle="1" w:styleId="TableListNumber">
    <w:name w:val="Table List Number"/>
    <w:basedOn w:val="TableCellLeft"/>
    <w:rsid w:val="006F0791"/>
    <w:pPr>
      <w:numPr>
        <w:numId w:val="33"/>
      </w:numPr>
    </w:pPr>
  </w:style>
  <w:style w:type="paragraph" w:customStyle="1" w:styleId="TableBullet">
    <w:name w:val="Table Bullet"/>
    <w:basedOn w:val="TableCellLeft"/>
    <w:rsid w:val="006F0791"/>
    <w:pPr>
      <w:numPr>
        <w:numId w:val="32"/>
      </w:numPr>
    </w:pPr>
  </w:style>
  <w:style w:type="paragraph" w:customStyle="1" w:styleId="TableIndent">
    <w:name w:val="Table Indent"/>
    <w:basedOn w:val="TableCellLeft"/>
    <w:rsid w:val="006F0791"/>
    <w:pPr>
      <w:ind w:left="360"/>
    </w:pPr>
  </w:style>
  <w:style w:type="paragraph" w:customStyle="1" w:styleId="TableIndent2">
    <w:name w:val="Table Indent 2"/>
    <w:basedOn w:val="TableCellLeft"/>
    <w:rsid w:val="006F0791"/>
    <w:pPr>
      <w:ind w:left="720"/>
    </w:pPr>
  </w:style>
  <w:style w:type="paragraph" w:customStyle="1" w:styleId="TableCellLeft">
    <w:name w:val="Table Cell Left"/>
    <w:rsid w:val="006F0791"/>
    <w:pPr>
      <w:spacing w:before="20" w:after="60"/>
    </w:pPr>
    <w:rPr>
      <w:rFonts w:ascii="Arial" w:hAnsi="Arial"/>
      <w:color w:val="000000"/>
    </w:rPr>
  </w:style>
  <w:style w:type="paragraph" w:customStyle="1" w:styleId="TableCellRight">
    <w:name w:val="Table Cell Right"/>
    <w:basedOn w:val="TableCellLeft"/>
    <w:rsid w:val="006F0791"/>
    <w:pPr>
      <w:jc w:val="right"/>
    </w:pPr>
  </w:style>
  <w:style w:type="paragraph" w:customStyle="1" w:styleId="TableCellCenter">
    <w:name w:val="Table Cell Center"/>
    <w:basedOn w:val="TableCellLeft"/>
    <w:rsid w:val="006F0791"/>
    <w:pPr>
      <w:jc w:val="center"/>
    </w:pPr>
  </w:style>
  <w:style w:type="paragraph" w:customStyle="1" w:styleId="TableHeadLeft">
    <w:name w:val="Table Head Left"/>
    <w:basedOn w:val="TableCellLeft"/>
    <w:rsid w:val="006F0791"/>
    <w:pPr>
      <w:keepNext/>
    </w:pPr>
    <w:rPr>
      <w:b/>
    </w:rPr>
  </w:style>
  <w:style w:type="paragraph" w:customStyle="1" w:styleId="TableHeadRight">
    <w:name w:val="Table Head Right"/>
    <w:basedOn w:val="TableCellLeft"/>
    <w:rsid w:val="006F0791"/>
    <w:pPr>
      <w:keepNext/>
      <w:jc w:val="right"/>
    </w:pPr>
    <w:rPr>
      <w:b/>
    </w:rPr>
  </w:style>
  <w:style w:type="paragraph" w:customStyle="1" w:styleId="TableHeadCenter">
    <w:name w:val="Table Head Center"/>
    <w:basedOn w:val="TableCellLeft"/>
    <w:rsid w:val="006F0791"/>
    <w:pPr>
      <w:keepNext/>
      <w:jc w:val="center"/>
    </w:pPr>
    <w:rPr>
      <w:b/>
    </w:rPr>
  </w:style>
  <w:style w:type="paragraph" w:customStyle="1" w:styleId="Status1">
    <w:name w:val="Status1"/>
    <w:basedOn w:val="Normal"/>
    <w:rsid w:val="006F0791"/>
    <w:pPr>
      <w:spacing w:after="120"/>
    </w:pPr>
    <w:rPr>
      <w:b/>
      <w:szCs w:val="20"/>
      <w:u w:val="single"/>
    </w:rPr>
  </w:style>
  <w:style w:type="paragraph" w:customStyle="1" w:styleId="Status3-Activity">
    <w:name w:val="Status3-Activity"/>
    <w:basedOn w:val="Normal"/>
    <w:rsid w:val="006F0791"/>
    <w:pPr>
      <w:keepNext/>
      <w:numPr>
        <w:ilvl w:val="2"/>
        <w:numId w:val="34"/>
      </w:numPr>
      <w:spacing w:after="60"/>
    </w:pPr>
  </w:style>
  <w:style w:type="paragraph" w:customStyle="1" w:styleId="Status4-SubActivity">
    <w:name w:val="Status4-SubActivity"/>
    <w:basedOn w:val="Normal"/>
    <w:rsid w:val="006F0791"/>
    <w:pPr>
      <w:numPr>
        <w:ilvl w:val="3"/>
        <w:numId w:val="34"/>
      </w:numPr>
      <w:spacing w:after="60"/>
    </w:pPr>
  </w:style>
  <w:style w:type="paragraph" w:customStyle="1" w:styleId="Status5-Item">
    <w:name w:val="Status5-Item"/>
    <w:basedOn w:val="Normal"/>
    <w:rsid w:val="006F0791"/>
    <w:pPr>
      <w:numPr>
        <w:ilvl w:val="4"/>
        <w:numId w:val="34"/>
      </w:numPr>
      <w:spacing w:after="60"/>
    </w:pPr>
  </w:style>
  <w:style w:type="character" w:customStyle="1" w:styleId="Status5-ItemChar">
    <w:name w:val="Status5-Item Char"/>
    <w:basedOn w:val="DefaultParagraphFont"/>
    <w:rsid w:val="006F0791"/>
    <w:rPr>
      <w:noProof w:val="0"/>
      <w:szCs w:val="24"/>
      <w:lang w:val="en-US" w:eastAsia="en-US" w:bidi="ar-SA"/>
    </w:rPr>
  </w:style>
  <w:style w:type="character" w:customStyle="1" w:styleId="FAM-Bullet-1Char">
    <w:name w:val="FAM-Bullet-1 Char"/>
    <w:basedOn w:val="DefaultParagraphFont"/>
    <w:link w:val="FAM-Bullet-1"/>
    <w:rsid w:val="00D85B09"/>
    <w:rPr>
      <w:rFonts w:ascii="ITCCentury Book" w:hAnsi="ITCCentury Book" w:cs="ITCCentury Book"/>
      <w:color w:val="000000"/>
      <w:sz w:val="24"/>
      <w:szCs w:val="24"/>
    </w:rPr>
  </w:style>
  <w:style w:type="character" w:customStyle="1" w:styleId="StyleFootnoteReferenceArialBoldBlack">
    <w:name w:val="Style Footnote Reference + Arial Bold Black"/>
    <w:basedOn w:val="FootnoteReference"/>
    <w:rsid w:val="00D85B09"/>
    <w:rPr>
      <w:rFonts w:ascii="Arial" w:hAnsi="Arial"/>
      <w:b/>
      <w:bCs/>
      <w:color w:val="auto"/>
      <w:vertAlign w:val="superscript"/>
    </w:rPr>
  </w:style>
  <w:style w:type="character" w:customStyle="1" w:styleId="CommentTextChar">
    <w:name w:val="Comment Text Char"/>
    <w:basedOn w:val="DefaultParagraphFont"/>
    <w:link w:val="CommentText"/>
    <w:semiHidden/>
    <w:rsid w:val="00EF5196"/>
    <w:rPr>
      <w:rFonts w:ascii="ITCCentury Book" w:hAnsi="ITCCentury Book"/>
      <w:color w:val="000000"/>
    </w:rPr>
  </w:style>
  <w:style w:type="paragraph" w:styleId="Revision">
    <w:name w:val="Revision"/>
    <w:hidden/>
    <w:uiPriority w:val="99"/>
    <w:semiHidden/>
    <w:rsid w:val="00056AB1"/>
    <w:rPr>
      <w:rFonts w:ascii="ITCCentury Book" w:hAnsi="ITCCentury Book"/>
      <w:color w:val="000000"/>
      <w:sz w:val="24"/>
      <w:szCs w:val="24"/>
    </w:rPr>
  </w:style>
  <w:style w:type="paragraph" w:customStyle="1" w:styleId="Default">
    <w:name w:val="Default"/>
    <w:rsid w:val="002A4061"/>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99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FA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C407B-CCBD-48BA-AE48-586E7858F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FAM</Template>
  <TotalTime>1</TotalTime>
  <Pages>32</Pages>
  <Words>8627</Words>
  <Characters>51868</Characters>
  <Application>Microsoft Office Word</Application>
  <DocSecurity>0</DocSecurity>
  <Lines>432</Lines>
  <Paragraphs>120</Paragraphs>
  <ScaleCrop>false</ScaleCrop>
  <HeadingPairs>
    <vt:vector size="2" baseType="variant">
      <vt:variant>
        <vt:lpstr>Title</vt:lpstr>
      </vt:variant>
      <vt:variant>
        <vt:i4>1</vt:i4>
      </vt:variant>
    </vt:vector>
  </HeadingPairs>
  <TitlesOfParts>
    <vt:vector size="1" baseType="lpstr">
      <vt:lpstr>220 – UNDERSTAND THE ENTITY'S OPERATIONS</vt:lpstr>
    </vt:vector>
  </TitlesOfParts>
  <Company>Hickey Corp</Company>
  <LinksUpToDate>false</LinksUpToDate>
  <CharactersWithSpaces>60375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220 – UNDERSTAND THE ENTITY'S OPERATIONS</dc:title>
  <dc:creator>STOLTZR</dc:creator>
  <cp:lastModifiedBy>Marcus, Joshua Y</cp:lastModifiedBy>
  <cp:revision>2</cp:revision>
  <cp:lastPrinted>2017-03-14T19:45:00Z</cp:lastPrinted>
  <dcterms:created xsi:type="dcterms:W3CDTF">2020-04-09T22:32:00Z</dcterms:created>
  <dcterms:modified xsi:type="dcterms:W3CDTF">2020-04-09T22:32:00Z</dcterms:modified>
</cp:coreProperties>
</file>